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C4AA6" w14:textId="5CE695CC" w:rsidR="00F163BB" w:rsidRPr="00FA153F" w:rsidRDefault="00D854D5" w:rsidP="00837E7B">
      <w:pPr>
        <w:tabs>
          <w:tab w:val="left" w:pos="0"/>
        </w:tabs>
        <w:rPr>
          <w:rFonts w:cstheme="minorHAnsi"/>
          <w:b/>
          <w:sz w:val="24"/>
          <w:szCs w:val="24"/>
        </w:rPr>
      </w:pPr>
      <w:r w:rsidRPr="00FA153F">
        <w:rPr>
          <w:rFonts w:cstheme="minorHAnsi"/>
          <w:b/>
          <w:sz w:val="24"/>
          <w:szCs w:val="24"/>
        </w:rPr>
        <w:t>Internal Scan</w:t>
      </w:r>
    </w:p>
    <w:p w14:paraId="10588D50" w14:textId="77777777" w:rsidR="00B66E5B" w:rsidRPr="00B66E5B" w:rsidRDefault="00B66E5B" w:rsidP="00837E7B">
      <w:pPr>
        <w:tabs>
          <w:tab w:val="left" w:pos="0"/>
        </w:tabs>
        <w:spacing w:before="120" w:after="120"/>
        <w:rPr>
          <w:rFonts w:eastAsia="Calibri" w:cstheme="minorHAnsi"/>
          <w:b/>
          <w:sz w:val="24"/>
          <w:szCs w:val="24"/>
        </w:rPr>
      </w:pPr>
      <w:r w:rsidRPr="00B66E5B">
        <w:rPr>
          <w:rFonts w:eastAsia="Calibri" w:cstheme="minorHAnsi"/>
          <w:b/>
          <w:sz w:val="24"/>
          <w:szCs w:val="24"/>
        </w:rPr>
        <w:t>Executive Summary</w:t>
      </w:r>
    </w:p>
    <w:p w14:paraId="3031E2B9" w14:textId="113CC32A" w:rsidR="00973E2B" w:rsidRDefault="00B66E5B" w:rsidP="00837E7B">
      <w:pPr>
        <w:tabs>
          <w:tab w:val="left" w:pos="0"/>
        </w:tabs>
        <w:spacing w:before="120" w:after="120"/>
        <w:rPr>
          <w:rFonts w:eastAsia="Calibri" w:cstheme="minorHAnsi"/>
          <w:sz w:val="24"/>
          <w:szCs w:val="24"/>
        </w:rPr>
      </w:pPr>
      <w:r>
        <w:rPr>
          <w:rFonts w:eastAsia="Calibri" w:cstheme="minorHAnsi"/>
          <w:sz w:val="24"/>
          <w:szCs w:val="24"/>
        </w:rPr>
        <w:t>F</w:t>
      </w:r>
      <w:r w:rsidR="0043695D">
        <w:rPr>
          <w:rFonts w:eastAsia="Calibri" w:cstheme="minorHAnsi"/>
          <w:sz w:val="24"/>
          <w:szCs w:val="24"/>
        </w:rPr>
        <w:t xml:space="preserve">lorida </w:t>
      </w:r>
      <w:r>
        <w:rPr>
          <w:rFonts w:eastAsia="Calibri" w:cstheme="minorHAnsi"/>
          <w:sz w:val="24"/>
          <w:szCs w:val="24"/>
        </w:rPr>
        <w:t>G</w:t>
      </w:r>
      <w:r w:rsidR="0043695D">
        <w:rPr>
          <w:rFonts w:eastAsia="Calibri" w:cstheme="minorHAnsi"/>
          <w:sz w:val="24"/>
          <w:szCs w:val="24"/>
        </w:rPr>
        <w:t xml:space="preserve">ulf </w:t>
      </w:r>
      <w:r>
        <w:rPr>
          <w:rFonts w:eastAsia="Calibri" w:cstheme="minorHAnsi"/>
          <w:sz w:val="24"/>
          <w:szCs w:val="24"/>
        </w:rPr>
        <w:t>C</w:t>
      </w:r>
      <w:r w:rsidR="0043695D">
        <w:rPr>
          <w:rFonts w:eastAsia="Calibri" w:cstheme="minorHAnsi"/>
          <w:sz w:val="24"/>
          <w:szCs w:val="24"/>
        </w:rPr>
        <w:t xml:space="preserve">oast </w:t>
      </w:r>
      <w:r>
        <w:rPr>
          <w:rFonts w:eastAsia="Calibri" w:cstheme="minorHAnsi"/>
          <w:sz w:val="24"/>
          <w:szCs w:val="24"/>
        </w:rPr>
        <w:t>U</w:t>
      </w:r>
      <w:r w:rsidR="0043695D">
        <w:rPr>
          <w:rFonts w:eastAsia="Calibri" w:cstheme="minorHAnsi"/>
          <w:sz w:val="24"/>
          <w:szCs w:val="24"/>
        </w:rPr>
        <w:t>niversity (FGCU)</w:t>
      </w:r>
      <w:r>
        <w:rPr>
          <w:rFonts w:eastAsia="Calibri" w:cstheme="minorHAnsi"/>
          <w:sz w:val="24"/>
          <w:szCs w:val="24"/>
        </w:rPr>
        <w:t xml:space="preserve"> has demonstrated strengths with regard to faculty and staff, </w:t>
      </w:r>
      <w:r w:rsidR="00194A18">
        <w:rPr>
          <w:rFonts w:eastAsia="Calibri" w:cstheme="minorHAnsi"/>
          <w:sz w:val="24"/>
          <w:szCs w:val="24"/>
        </w:rPr>
        <w:t xml:space="preserve">the quality of its academic programs, </w:t>
      </w:r>
      <w:r>
        <w:rPr>
          <w:rFonts w:eastAsia="Calibri" w:cstheme="minorHAnsi"/>
          <w:sz w:val="24"/>
          <w:szCs w:val="24"/>
        </w:rPr>
        <w:t xml:space="preserve">student outcomes, academic support, </w:t>
      </w:r>
      <w:r w:rsidR="00194A18">
        <w:rPr>
          <w:rFonts w:eastAsia="Calibri" w:cstheme="minorHAnsi"/>
          <w:sz w:val="24"/>
          <w:szCs w:val="24"/>
        </w:rPr>
        <w:t xml:space="preserve">its physical plant, </w:t>
      </w:r>
      <w:r>
        <w:rPr>
          <w:rFonts w:eastAsia="Calibri" w:cstheme="minorHAnsi"/>
          <w:sz w:val="24"/>
          <w:szCs w:val="24"/>
        </w:rPr>
        <w:t>clear sense of purpose, athletics, cultural programming, civic engagement, and its commitment</w:t>
      </w:r>
      <w:r w:rsidR="00194A18">
        <w:rPr>
          <w:rFonts w:eastAsia="Calibri" w:cstheme="minorHAnsi"/>
          <w:sz w:val="24"/>
          <w:szCs w:val="24"/>
        </w:rPr>
        <w:t xml:space="preserve"> to environmental sustainability. </w:t>
      </w:r>
    </w:p>
    <w:p w14:paraId="04D39094" w14:textId="77777777" w:rsidR="00973E2B" w:rsidRDefault="00194A18" w:rsidP="00837E7B">
      <w:pPr>
        <w:tabs>
          <w:tab w:val="left" w:pos="0"/>
        </w:tabs>
        <w:spacing w:before="120" w:after="120"/>
        <w:rPr>
          <w:rFonts w:eastAsia="Calibri" w:cstheme="minorHAnsi"/>
          <w:sz w:val="24"/>
          <w:szCs w:val="24"/>
        </w:rPr>
      </w:pPr>
      <w:r>
        <w:rPr>
          <w:rFonts w:eastAsia="Calibri" w:cstheme="minorHAnsi"/>
          <w:sz w:val="24"/>
          <w:szCs w:val="24"/>
        </w:rPr>
        <w:t xml:space="preserve">Growing enrollment </w:t>
      </w:r>
      <w:r w:rsidR="00C56A1A">
        <w:rPr>
          <w:rFonts w:eastAsia="Calibri" w:cstheme="minorHAnsi"/>
          <w:sz w:val="24"/>
          <w:szCs w:val="24"/>
        </w:rPr>
        <w:t>while significantly reduced from historic trends</w:t>
      </w:r>
      <w:r>
        <w:rPr>
          <w:rFonts w:eastAsia="Calibri" w:cstheme="minorHAnsi"/>
          <w:sz w:val="24"/>
          <w:szCs w:val="24"/>
        </w:rPr>
        <w:t xml:space="preserve"> is placing a strain on current facilities, funding from the state is unpredictable and competitive</w:t>
      </w:r>
      <w:r w:rsidR="00C56A1A">
        <w:rPr>
          <w:rFonts w:eastAsia="Calibri" w:cstheme="minorHAnsi"/>
          <w:sz w:val="24"/>
          <w:szCs w:val="24"/>
        </w:rPr>
        <w:t>, sponsored research is under threat at the national level, graduate enrollment has been in decline</w:t>
      </w:r>
      <w:r w:rsidR="00973E2B">
        <w:rPr>
          <w:rFonts w:eastAsia="Calibri" w:cstheme="minorHAnsi"/>
          <w:sz w:val="24"/>
          <w:szCs w:val="24"/>
        </w:rPr>
        <w:t>, access to FGCU likely will become more limited, and technology staffing a constant challenge</w:t>
      </w:r>
      <w:r w:rsidR="00C56A1A">
        <w:rPr>
          <w:rFonts w:eastAsia="Calibri" w:cstheme="minorHAnsi"/>
          <w:sz w:val="24"/>
          <w:szCs w:val="24"/>
        </w:rPr>
        <w:t xml:space="preserve">. </w:t>
      </w:r>
    </w:p>
    <w:p w14:paraId="435E282D" w14:textId="6317DC1A" w:rsidR="00973E2B" w:rsidRDefault="00C56A1A" w:rsidP="00837E7B">
      <w:pPr>
        <w:tabs>
          <w:tab w:val="left" w:pos="0"/>
        </w:tabs>
        <w:spacing w:before="120" w:after="120"/>
        <w:rPr>
          <w:rFonts w:eastAsia="Calibri" w:cstheme="minorHAnsi"/>
          <w:sz w:val="24"/>
          <w:szCs w:val="24"/>
        </w:rPr>
      </w:pPr>
      <w:r>
        <w:rPr>
          <w:rFonts w:eastAsia="Calibri" w:cstheme="minorHAnsi"/>
          <w:sz w:val="24"/>
          <w:szCs w:val="24"/>
        </w:rPr>
        <w:t xml:space="preserve">At the same time, opportunities exist for the development of new academic programs that meet regional and state needs, </w:t>
      </w:r>
      <w:r w:rsidR="00973E2B">
        <w:rPr>
          <w:rFonts w:eastAsia="Calibri" w:cstheme="minorHAnsi"/>
          <w:sz w:val="24"/>
          <w:szCs w:val="24"/>
        </w:rPr>
        <w:t>the Quality Enhancement Plan</w:t>
      </w:r>
      <w:r w:rsidR="0043695D">
        <w:rPr>
          <w:rFonts w:eastAsia="Calibri" w:cstheme="minorHAnsi"/>
          <w:sz w:val="24"/>
          <w:szCs w:val="24"/>
        </w:rPr>
        <w:t xml:space="preserve"> (QEP)</w:t>
      </w:r>
      <w:r w:rsidR="00973E2B">
        <w:rPr>
          <w:rFonts w:eastAsia="Calibri" w:cstheme="minorHAnsi"/>
          <w:sz w:val="24"/>
          <w:szCs w:val="24"/>
        </w:rPr>
        <w:t xml:space="preserve"> will promote student learning and persistence, shared governance is thriving, marketing holds great promise to enhance FGCU’s national visibility, a major capital</w:t>
      </w:r>
      <w:r>
        <w:rPr>
          <w:rFonts w:eastAsia="Calibri" w:cstheme="minorHAnsi"/>
          <w:sz w:val="24"/>
          <w:szCs w:val="24"/>
        </w:rPr>
        <w:t xml:space="preserve"> </w:t>
      </w:r>
      <w:r w:rsidR="00973E2B">
        <w:rPr>
          <w:rFonts w:eastAsia="Calibri" w:cstheme="minorHAnsi"/>
          <w:sz w:val="24"/>
          <w:szCs w:val="24"/>
        </w:rPr>
        <w:t>campaign is underway, and online learning holds great promise.</w:t>
      </w:r>
    </w:p>
    <w:p w14:paraId="0E3818D9" w14:textId="77777777" w:rsidR="00B66E5B" w:rsidRDefault="00973E2B" w:rsidP="00837E7B">
      <w:pPr>
        <w:tabs>
          <w:tab w:val="left" w:pos="0"/>
        </w:tabs>
        <w:spacing w:before="120" w:after="120"/>
        <w:rPr>
          <w:rFonts w:eastAsia="Calibri" w:cstheme="minorHAnsi"/>
          <w:sz w:val="24"/>
          <w:szCs w:val="24"/>
        </w:rPr>
      </w:pPr>
      <w:r>
        <w:rPr>
          <w:rFonts w:eastAsia="Calibri" w:cstheme="minorHAnsi"/>
          <w:sz w:val="24"/>
          <w:szCs w:val="24"/>
        </w:rPr>
        <w:t xml:space="preserve">In summary, FGCU is positioned to leverage its strengths, address its weaknesses, and overcome all challenges as it looks to the future with confidence in its ability to continue to meet the needs of the community it serves. </w:t>
      </w:r>
      <w:r w:rsidR="00C56A1A">
        <w:rPr>
          <w:rFonts w:eastAsia="Calibri" w:cstheme="minorHAnsi"/>
          <w:sz w:val="24"/>
          <w:szCs w:val="24"/>
        </w:rPr>
        <w:t xml:space="preserve"> </w:t>
      </w:r>
      <w:r w:rsidR="00194A18">
        <w:rPr>
          <w:rFonts w:eastAsia="Calibri" w:cstheme="minorHAnsi"/>
          <w:sz w:val="24"/>
          <w:szCs w:val="24"/>
        </w:rPr>
        <w:t xml:space="preserve"> </w:t>
      </w:r>
    </w:p>
    <w:p w14:paraId="191DEFC9" w14:textId="77777777" w:rsidR="00B66E5B" w:rsidRPr="00194A18" w:rsidRDefault="00B66E5B" w:rsidP="00837E7B">
      <w:pPr>
        <w:tabs>
          <w:tab w:val="left" w:pos="0"/>
        </w:tabs>
        <w:spacing w:before="120" w:after="120"/>
        <w:rPr>
          <w:rFonts w:eastAsia="Calibri" w:cstheme="minorHAnsi"/>
          <w:b/>
          <w:sz w:val="24"/>
          <w:szCs w:val="24"/>
        </w:rPr>
      </w:pPr>
      <w:r w:rsidRPr="00194A18">
        <w:rPr>
          <w:rFonts w:eastAsia="Calibri" w:cstheme="minorHAnsi"/>
          <w:b/>
          <w:sz w:val="24"/>
          <w:szCs w:val="24"/>
        </w:rPr>
        <w:t>Introduction</w:t>
      </w:r>
    </w:p>
    <w:p w14:paraId="3A2D7F69" w14:textId="77777777" w:rsidR="004230E5" w:rsidRDefault="00915A2B" w:rsidP="00837E7B">
      <w:pPr>
        <w:tabs>
          <w:tab w:val="left" w:pos="0"/>
        </w:tabs>
        <w:spacing w:before="120" w:after="120"/>
        <w:rPr>
          <w:rFonts w:eastAsia="Calibri" w:cstheme="minorHAnsi"/>
          <w:sz w:val="24"/>
          <w:szCs w:val="24"/>
        </w:rPr>
      </w:pPr>
      <w:r w:rsidRPr="00492F82">
        <w:rPr>
          <w:rFonts w:eastAsia="Calibri" w:cstheme="minorHAnsi"/>
          <w:sz w:val="24"/>
          <w:szCs w:val="24"/>
        </w:rPr>
        <w:t xml:space="preserve">In its young history, FGCU has been highly successful by any measure. Enrollment has more than quintupled since opening day (2,584) in </w:t>
      </w:r>
      <w:r w:rsidR="00987BFD" w:rsidRPr="00492F82">
        <w:rPr>
          <w:rFonts w:eastAsia="Calibri" w:cstheme="minorHAnsi"/>
          <w:sz w:val="24"/>
          <w:szCs w:val="24"/>
        </w:rPr>
        <w:t xml:space="preserve">the </w:t>
      </w:r>
      <w:r w:rsidRPr="00492F82">
        <w:rPr>
          <w:rFonts w:eastAsia="Calibri" w:cstheme="minorHAnsi"/>
          <w:sz w:val="24"/>
          <w:szCs w:val="24"/>
        </w:rPr>
        <w:t xml:space="preserve">fall </w:t>
      </w:r>
      <w:r w:rsidR="00987BFD" w:rsidRPr="00492F82">
        <w:rPr>
          <w:rFonts w:eastAsia="Calibri" w:cstheme="minorHAnsi"/>
          <w:sz w:val="24"/>
          <w:szCs w:val="24"/>
        </w:rPr>
        <w:t xml:space="preserve">of </w:t>
      </w:r>
      <w:r w:rsidRPr="00492F82">
        <w:rPr>
          <w:rFonts w:eastAsia="Calibri" w:cstheme="minorHAnsi"/>
          <w:sz w:val="24"/>
          <w:szCs w:val="24"/>
        </w:rPr>
        <w:t>1997 to 14,</w:t>
      </w:r>
      <w:r w:rsidR="00B33995" w:rsidRPr="00492F82">
        <w:rPr>
          <w:rFonts w:eastAsia="Calibri" w:cstheme="minorHAnsi"/>
          <w:sz w:val="24"/>
          <w:szCs w:val="24"/>
        </w:rPr>
        <w:t>492</w:t>
      </w:r>
      <w:r w:rsidRPr="00492F82">
        <w:rPr>
          <w:rFonts w:eastAsia="Calibri" w:cstheme="minorHAnsi"/>
          <w:sz w:val="24"/>
          <w:szCs w:val="24"/>
        </w:rPr>
        <w:t xml:space="preserve"> students in</w:t>
      </w:r>
      <w:r w:rsidR="00987BFD" w:rsidRPr="00492F82">
        <w:rPr>
          <w:rFonts w:eastAsia="Calibri" w:cstheme="minorHAnsi"/>
          <w:sz w:val="24"/>
          <w:szCs w:val="24"/>
        </w:rPr>
        <w:t xml:space="preserve"> the</w:t>
      </w:r>
      <w:r w:rsidRPr="00492F82">
        <w:rPr>
          <w:rFonts w:eastAsia="Calibri" w:cstheme="minorHAnsi"/>
          <w:sz w:val="24"/>
          <w:szCs w:val="24"/>
        </w:rPr>
        <w:t xml:space="preserve"> fall </w:t>
      </w:r>
      <w:r w:rsidR="00987BFD" w:rsidRPr="00492F82">
        <w:rPr>
          <w:rFonts w:eastAsia="Calibri" w:cstheme="minorHAnsi"/>
          <w:sz w:val="24"/>
          <w:szCs w:val="24"/>
        </w:rPr>
        <w:t xml:space="preserve">of </w:t>
      </w:r>
      <w:r w:rsidRPr="00492F82">
        <w:rPr>
          <w:rFonts w:eastAsia="Calibri" w:cstheme="minorHAnsi"/>
          <w:sz w:val="24"/>
          <w:szCs w:val="24"/>
        </w:rPr>
        <w:t>2014 (</w:t>
      </w:r>
      <w:r w:rsidR="00B33995" w:rsidRPr="00492F82">
        <w:rPr>
          <w:rFonts w:eastAsia="Calibri" w:cstheme="minorHAnsi"/>
          <w:sz w:val="24"/>
          <w:szCs w:val="24"/>
        </w:rPr>
        <w:t>as of October 14</w:t>
      </w:r>
      <w:r w:rsidR="00987BFD" w:rsidRPr="00492F82">
        <w:rPr>
          <w:rFonts w:eastAsia="Calibri" w:cstheme="minorHAnsi"/>
          <w:sz w:val="24"/>
          <w:szCs w:val="24"/>
        </w:rPr>
        <w:t>, 2014</w:t>
      </w:r>
      <w:r w:rsidR="00B33995" w:rsidRPr="00492F82">
        <w:rPr>
          <w:rFonts w:eastAsia="Calibri" w:cstheme="minorHAnsi"/>
          <w:sz w:val="24"/>
          <w:szCs w:val="24"/>
        </w:rPr>
        <w:t>)</w:t>
      </w:r>
      <w:r w:rsidRPr="00492F82">
        <w:rPr>
          <w:rFonts w:eastAsia="Calibri" w:cstheme="minorHAnsi"/>
          <w:sz w:val="24"/>
          <w:szCs w:val="24"/>
        </w:rPr>
        <w:t xml:space="preserve"> with students </w:t>
      </w:r>
      <w:r w:rsidR="00987BFD" w:rsidRPr="00492F82">
        <w:rPr>
          <w:rFonts w:eastAsia="Calibri" w:cstheme="minorHAnsi"/>
          <w:sz w:val="24"/>
          <w:szCs w:val="24"/>
        </w:rPr>
        <w:t xml:space="preserve">representing </w:t>
      </w:r>
      <w:r w:rsidRPr="00492F82">
        <w:rPr>
          <w:rFonts w:eastAsia="Calibri" w:cstheme="minorHAnsi"/>
          <w:sz w:val="24"/>
          <w:szCs w:val="24"/>
        </w:rPr>
        <w:t>45 states, including the District of Colum</w:t>
      </w:r>
      <w:r w:rsidR="000F3DDF" w:rsidRPr="00492F82">
        <w:rPr>
          <w:rFonts w:eastAsia="Calibri" w:cstheme="minorHAnsi"/>
          <w:sz w:val="24"/>
          <w:szCs w:val="24"/>
        </w:rPr>
        <w:t>bia, and more than 85 countries</w:t>
      </w:r>
      <w:r w:rsidRPr="00492F82">
        <w:rPr>
          <w:rFonts w:eastAsia="Calibri" w:cstheme="minorHAnsi"/>
          <w:sz w:val="24"/>
          <w:szCs w:val="24"/>
        </w:rPr>
        <w:t xml:space="preserve">. From just 49 degrees awarded in its </w:t>
      </w:r>
      <w:r w:rsidR="00987BFD" w:rsidRPr="00492F82">
        <w:rPr>
          <w:rFonts w:eastAsia="Calibri" w:cstheme="minorHAnsi"/>
          <w:sz w:val="24"/>
          <w:szCs w:val="24"/>
        </w:rPr>
        <w:t xml:space="preserve">inaugural </w:t>
      </w:r>
      <w:r w:rsidRPr="00492F82">
        <w:rPr>
          <w:rFonts w:eastAsia="Calibri" w:cstheme="minorHAnsi"/>
          <w:sz w:val="24"/>
          <w:szCs w:val="24"/>
        </w:rPr>
        <w:t>year, FGCU now awards over 2</w:t>
      </w:r>
      <w:r w:rsidR="00C20640">
        <w:rPr>
          <w:rFonts w:eastAsia="Calibri" w:cstheme="minorHAnsi"/>
          <w:sz w:val="24"/>
          <w:szCs w:val="24"/>
        </w:rPr>
        <w:t>,</w:t>
      </w:r>
      <w:r w:rsidRPr="00492F82">
        <w:rPr>
          <w:rFonts w:eastAsia="Calibri" w:cstheme="minorHAnsi"/>
          <w:sz w:val="24"/>
          <w:szCs w:val="24"/>
        </w:rPr>
        <w:t>200 degrees annually and, during the spring 2014 commencement</w:t>
      </w:r>
      <w:r w:rsidR="00987BFD" w:rsidRPr="00492F82">
        <w:rPr>
          <w:rFonts w:eastAsia="Calibri" w:cstheme="minorHAnsi"/>
          <w:sz w:val="24"/>
          <w:szCs w:val="24"/>
        </w:rPr>
        <w:t>,</w:t>
      </w:r>
      <w:r w:rsidRPr="00492F82">
        <w:rPr>
          <w:rFonts w:eastAsia="Calibri" w:cstheme="minorHAnsi"/>
          <w:sz w:val="24"/>
          <w:szCs w:val="24"/>
        </w:rPr>
        <w:t xml:space="preserve"> FGCU’s 20,000</w:t>
      </w:r>
      <w:r w:rsidR="00B87535" w:rsidRPr="00B87535">
        <w:rPr>
          <w:rFonts w:eastAsia="Calibri" w:cstheme="minorHAnsi"/>
          <w:sz w:val="24"/>
          <w:szCs w:val="24"/>
          <w:vertAlign w:val="superscript"/>
        </w:rPr>
        <w:t>th</w:t>
      </w:r>
      <w:r w:rsidR="00B87535">
        <w:rPr>
          <w:rFonts w:eastAsia="Calibri" w:cstheme="minorHAnsi"/>
          <w:sz w:val="24"/>
          <w:szCs w:val="24"/>
        </w:rPr>
        <w:t xml:space="preserve"> </w:t>
      </w:r>
      <w:r w:rsidRPr="00492F82">
        <w:rPr>
          <w:rFonts w:eastAsia="Calibri" w:cstheme="minorHAnsi"/>
          <w:sz w:val="24"/>
          <w:szCs w:val="24"/>
        </w:rPr>
        <w:t>graduate accepted</w:t>
      </w:r>
      <w:r w:rsidR="00174C6C" w:rsidRPr="00492F82">
        <w:rPr>
          <w:rFonts w:eastAsia="Calibri" w:cstheme="minorHAnsi"/>
          <w:sz w:val="24"/>
          <w:szCs w:val="24"/>
        </w:rPr>
        <w:t xml:space="preserve"> her diploma.</w:t>
      </w:r>
      <w:r w:rsidR="00202690">
        <w:rPr>
          <w:rFonts w:eastAsia="Calibri" w:cstheme="minorHAnsi"/>
          <w:sz w:val="24"/>
          <w:szCs w:val="24"/>
        </w:rPr>
        <w:t xml:space="preserve"> More importantly, FGCU has risen to meet the demands of this growing population, seeing f</w:t>
      </w:r>
      <w:r w:rsidRPr="00492F82">
        <w:rPr>
          <w:rFonts w:eastAsia="Calibri" w:cstheme="minorHAnsi"/>
          <w:sz w:val="24"/>
          <w:szCs w:val="24"/>
        </w:rPr>
        <w:t xml:space="preserve">irst-year retention rates </w:t>
      </w:r>
      <w:r w:rsidR="00202690">
        <w:rPr>
          <w:rFonts w:eastAsia="Calibri" w:cstheme="minorHAnsi"/>
          <w:sz w:val="24"/>
          <w:szCs w:val="24"/>
        </w:rPr>
        <w:t>increase</w:t>
      </w:r>
      <w:r w:rsidRPr="00492F82">
        <w:rPr>
          <w:rFonts w:eastAsia="Calibri" w:cstheme="minorHAnsi"/>
          <w:sz w:val="24"/>
          <w:szCs w:val="24"/>
        </w:rPr>
        <w:t xml:space="preserve"> from 43% to 78% </w:t>
      </w:r>
      <w:r w:rsidR="00987BFD" w:rsidRPr="00492F82">
        <w:rPr>
          <w:rFonts w:eastAsia="Calibri" w:cstheme="minorHAnsi"/>
          <w:sz w:val="24"/>
          <w:szCs w:val="24"/>
        </w:rPr>
        <w:t xml:space="preserve">in the </w:t>
      </w:r>
      <w:r w:rsidR="0099511E" w:rsidRPr="00492F82">
        <w:rPr>
          <w:rFonts w:eastAsia="Calibri" w:cstheme="minorHAnsi"/>
          <w:sz w:val="24"/>
          <w:szCs w:val="24"/>
        </w:rPr>
        <w:t xml:space="preserve">fall </w:t>
      </w:r>
      <w:r w:rsidR="00987BFD" w:rsidRPr="00492F82">
        <w:rPr>
          <w:rFonts w:eastAsia="Calibri" w:cstheme="minorHAnsi"/>
          <w:sz w:val="24"/>
          <w:szCs w:val="24"/>
        </w:rPr>
        <w:t xml:space="preserve">of </w:t>
      </w:r>
      <w:r w:rsidR="0099511E" w:rsidRPr="00492F82">
        <w:rPr>
          <w:rFonts w:eastAsia="Calibri" w:cstheme="minorHAnsi"/>
          <w:sz w:val="24"/>
          <w:szCs w:val="24"/>
        </w:rPr>
        <w:t>2014. FGCU offers</w:t>
      </w:r>
      <w:r w:rsidR="00174C6C" w:rsidRPr="00492F82">
        <w:rPr>
          <w:rFonts w:eastAsia="Calibri" w:cstheme="minorHAnsi"/>
          <w:sz w:val="24"/>
          <w:szCs w:val="24"/>
        </w:rPr>
        <w:t xml:space="preserve"> </w:t>
      </w:r>
      <w:r w:rsidR="00492F82">
        <w:rPr>
          <w:rFonts w:eastAsia="Calibri" w:cstheme="minorHAnsi"/>
          <w:sz w:val="24"/>
          <w:szCs w:val="24"/>
        </w:rPr>
        <w:t>nearly</w:t>
      </w:r>
      <w:r w:rsidR="00174C6C" w:rsidRPr="00492F82">
        <w:rPr>
          <w:rFonts w:eastAsia="Calibri" w:cstheme="minorHAnsi"/>
          <w:sz w:val="24"/>
          <w:szCs w:val="24"/>
        </w:rPr>
        <w:t xml:space="preserve"> 80 programs leading to a bachelors, masters or other advanced graduate degree</w:t>
      </w:r>
      <w:r w:rsidR="00987BFD" w:rsidRPr="00492F82">
        <w:rPr>
          <w:rFonts w:eastAsia="Calibri" w:cstheme="minorHAnsi"/>
          <w:sz w:val="24"/>
          <w:szCs w:val="24"/>
        </w:rPr>
        <w:t>s</w:t>
      </w:r>
      <w:r w:rsidR="00174C6C" w:rsidRPr="005D5FA0">
        <w:rPr>
          <w:rFonts w:eastAsia="Calibri" w:cstheme="minorHAnsi"/>
          <w:sz w:val="24"/>
          <w:szCs w:val="24"/>
        </w:rPr>
        <w:t>.</w:t>
      </w:r>
    </w:p>
    <w:p w14:paraId="2421FA11" w14:textId="3908E364" w:rsidR="009833AE" w:rsidRDefault="009833AE" w:rsidP="00837E7B">
      <w:pPr>
        <w:tabs>
          <w:tab w:val="left" w:pos="0"/>
        </w:tabs>
        <w:spacing w:before="120" w:after="120"/>
        <w:rPr>
          <w:sz w:val="24"/>
          <w:szCs w:val="24"/>
        </w:rPr>
      </w:pPr>
      <w:r w:rsidRPr="005D5FA0">
        <w:rPr>
          <w:sz w:val="24"/>
          <w:szCs w:val="24"/>
        </w:rPr>
        <w:t>In FGCU’s first year of NCAA Division-I postseason eligibility</w:t>
      </w:r>
      <w:r w:rsidR="00CB3AB7">
        <w:rPr>
          <w:sz w:val="24"/>
          <w:szCs w:val="24"/>
        </w:rPr>
        <w:t>,</w:t>
      </w:r>
      <w:r w:rsidRPr="005D5FA0">
        <w:rPr>
          <w:sz w:val="24"/>
          <w:szCs w:val="24"/>
        </w:rPr>
        <w:t xml:space="preserve"> </w:t>
      </w:r>
      <w:r w:rsidR="00CB3AB7">
        <w:rPr>
          <w:sz w:val="24"/>
          <w:szCs w:val="24"/>
        </w:rPr>
        <w:t xml:space="preserve">in 2011-12, </w:t>
      </w:r>
      <w:r w:rsidRPr="005D5FA0">
        <w:rPr>
          <w:sz w:val="24"/>
          <w:szCs w:val="24"/>
        </w:rPr>
        <w:t xml:space="preserve">the women’s soccer team became the first program to advance to the NCAA tournament and the softball team </w:t>
      </w:r>
      <w:r w:rsidR="00CB3AB7">
        <w:rPr>
          <w:sz w:val="24"/>
          <w:szCs w:val="24"/>
        </w:rPr>
        <w:t>was</w:t>
      </w:r>
      <w:r w:rsidRPr="005D5FA0">
        <w:rPr>
          <w:sz w:val="24"/>
          <w:szCs w:val="24"/>
        </w:rPr>
        <w:t xml:space="preserve"> the first program to attain an NCAA tournament victory. In the second year of postseason eligibility</w:t>
      </w:r>
      <w:r w:rsidR="00CB3AB7">
        <w:rPr>
          <w:sz w:val="24"/>
          <w:szCs w:val="24"/>
        </w:rPr>
        <w:t>, 2012-13</w:t>
      </w:r>
      <w:r w:rsidRPr="005D5FA0">
        <w:rPr>
          <w:sz w:val="24"/>
          <w:szCs w:val="24"/>
        </w:rPr>
        <w:t xml:space="preserve"> the men’s basketball program became the first 15-seed in the history of the NCAA Division-I Men’s Basketball Tournament to advance to the “Sweet Sixteen”. </w:t>
      </w:r>
      <w:r w:rsidR="00CB3AB7" w:rsidRPr="00CB3AB7">
        <w:rPr>
          <w:sz w:val="24"/>
          <w:szCs w:val="24"/>
        </w:rPr>
        <w:t>In 2013-14 the women’s swimming &amp; diving program finished 32</w:t>
      </w:r>
      <w:r w:rsidR="00CB3AB7" w:rsidRPr="00CB3AB7">
        <w:rPr>
          <w:sz w:val="24"/>
          <w:szCs w:val="24"/>
          <w:vertAlign w:val="superscript"/>
        </w:rPr>
        <w:t>nd</w:t>
      </w:r>
      <w:r w:rsidR="00CB3AB7" w:rsidRPr="00CB3AB7">
        <w:rPr>
          <w:sz w:val="24"/>
          <w:szCs w:val="24"/>
        </w:rPr>
        <w:t xml:space="preserve"> at the NCAA Championships, women’s basketball earned their second NCAA bid in three years of such eligibility and men’s basketball </w:t>
      </w:r>
      <w:r w:rsidR="00CB3AB7" w:rsidRPr="00CB3AB7">
        <w:rPr>
          <w:sz w:val="24"/>
          <w:szCs w:val="24"/>
        </w:rPr>
        <w:lastRenderedPageBreak/>
        <w:t>claimed their initial National Invitation Tournament berth. </w:t>
      </w:r>
      <w:r w:rsidRPr="005D5FA0">
        <w:rPr>
          <w:sz w:val="24"/>
          <w:szCs w:val="24"/>
        </w:rPr>
        <w:t xml:space="preserve">The </w:t>
      </w:r>
      <w:proofErr w:type="gramStart"/>
      <w:r w:rsidRPr="005D5FA0">
        <w:rPr>
          <w:sz w:val="24"/>
          <w:szCs w:val="24"/>
        </w:rPr>
        <w:t>success</w:t>
      </w:r>
      <w:proofErr w:type="gramEnd"/>
      <w:r w:rsidRPr="005D5FA0">
        <w:rPr>
          <w:sz w:val="24"/>
          <w:szCs w:val="24"/>
        </w:rPr>
        <w:t xml:space="preserve"> of the Athletics program has helped with FGCU’s visibility and marketability on a regional and national level.</w:t>
      </w:r>
      <w:r>
        <w:rPr>
          <w:sz w:val="24"/>
          <w:szCs w:val="24"/>
        </w:rPr>
        <w:t xml:space="preserve"> </w:t>
      </w:r>
    </w:p>
    <w:p w14:paraId="7AC4A8AA" w14:textId="79AA9113" w:rsidR="00915A2B" w:rsidRPr="00492F82" w:rsidRDefault="0099511E" w:rsidP="00837E7B">
      <w:pPr>
        <w:tabs>
          <w:tab w:val="left" w:pos="0"/>
        </w:tabs>
        <w:spacing w:before="120" w:after="120"/>
        <w:rPr>
          <w:rFonts w:eastAsia="Calibri" w:cstheme="minorHAnsi"/>
          <w:sz w:val="24"/>
          <w:szCs w:val="24"/>
        </w:rPr>
      </w:pPr>
      <w:r w:rsidRPr="00492F82">
        <w:rPr>
          <w:rFonts w:eastAsia="Calibri" w:cstheme="minorHAnsi"/>
          <w:sz w:val="24"/>
          <w:szCs w:val="24"/>
        </w:rPr>
        <w:t>What is the underlying key to FGCU’s success? How will it position itself to continue its incredible momentum for the foreseeable future? How do</w:t>
      </w:r>
      <w:r w:rsidR="00987BFD" w:rsidRPr="00492F82">
        <w:rPr>
          <w:rFonts w:eastAsia="Calibri" w:cstheme="minorHAnsi"/>
          <w:sz w:val="24"/>
          <w:szCs w:val="24"/>
        </w:rPr>
        <w:t>es</w:t>
      </w:r>
      <w:r w:rsidRPr="00492F82">
        <w:rPr>
          <w:rFonts w:eastAsia="Calibri" w:cstheme="minorHAnsi"/>
          <w:sz w:val="24"/>
          <w:szCs w:val="24"/>
        </w:rPr>
        <w:t xml:space="preserve"> </w:t>
      </w:r>
      <w:r w:rsidR="00987BFD" w:rsidRPr="00492F82">
        <w:rPr>
          <w:rFonts w:eastAsia="Calibri" w:cstheme="minorHAnsi"/>
          <w:sz w:val="24"/>
          <w:szCs w:val="24"/>
        </w:rPr>
        <w:t xml:space="preserve">the </w:t>
      </w:r>
      <w:r w:rsidR="00CB7CBF">
        <w:rPr>
          <w:rFonts w:eastAsia="Calibri" w:cstheme="minorHAnsi"/>
          <w:sz w:val="24"/>
          <w:szCs w:val="24"/>
        </w:rPr>
        <w:t>U</w:t>
      </w:r>
      <w:r w:rsidR="00987BFD" w:rsidRPr="00492F82">
        <w:rPr>
          <w:rFonts w:eastAsia="Calibri" w:cstheme="minorHAnsi"/>
          <w:sz w:val="24"/>
          <w:szCs w:val="24"/>
        </w:rPr>
        <w:t xml:space="preserve">niversity </w:t>
      </w:r>
      <w:r w:rsidRPr="00492F82">
        <w:rPr>
          <w:rFonts w:eastAsia="Calibri" w:cstheme="minorHAnsi"/>
          <w:sz w:val="24"/>
          <w:szCs w:val="24"/>
        </w:rPr>
        <w:t xml:space="preserve">leverage </w:t>
      </w:r>
      <w:r w:rsidR="00987BFD" w:rsidRPr="00492F82">
        <w:rPr>
          <w:rFonts w:eastAsia="Calibri" w:cstheme="minorHAnsi"/>
          <w:sz w:val="24"/>
          <w:szCs w:val="24"/>
        </w:rPr>
        <w:t xml:space="preserve">its </w:t>
      </w:r>
      <w:r w:rsidRPr="00492F82">
        <w:rPr>
          <w:rFonts w:eastAsia="Calibri" w:cstheme="minorHAnsi"/>
          <w:sz w:val="24"/>
          <w:szCs w:val="24"/>
        </w:rPr>
        <w:t xml:space="preserve">current strengths to ensure future success?   What obstacles must be overcome to realize </w:t>
      </w:r>
      <w:r w:rsidR="00987BFD" w:rsidRPr="00492F82">
        <w:rPr>
          <w:rFonts w:eastAsia="Calibri" w:cstheme="minorHAnsi"/>
          <w:sz w:val="24"/>
          <w:szCs w:val="24"/>
        </w:rPr>
        <w:t xml:space="preserve">the </w:t>
      </w:r>
      <w:r w:rsidRPr="00492F82">
        <w:rPr>
          <w:rFonts w:eastAsia="Calibri" w:cstheme="minorHAnsi"/>
          <w:sz w:val="24"/>
          <w:szCs w:val="24"/>
        </w:rPr>
        <w:t xml:space="preserve">vision? As FGCU prepares for the next five years it is well to consider the current strengths, areas for enhancement, opportunities, and challenges that provide the context for </w:t>
      </w:r>
      <w:r w:rsidR="00987BFD" w:rsidRPr="00492F82">
        <w:rPr>
          <w:rFonts w:eastAsia="Calibri" w:cstheme="minorHAnsi"/>
          <w:sz w:val="24"/>
          <w:szCs w:val="24"/>
        </w:rPr>
        <w:t xml:space="preserve">its </w:t>
      </w:r>
      <w:r w:rsidRPr="00492F82">
        <w:rPr>
          <w:rFonts w:eastAsia="Calibri" w:cstheme="minorHAnsi"/>
          <w:sz w:val="24"/>
          <w:szCs w:val="24"/>
        </w:rPr>
        <w:t>ambitious plans.</w:t>
      </w:r>
    </w:p>
    <w:p w14:paraId="658773B9" w14:textId="77777777" w:rsidR="00837E7B" w:rsidRDefault="00042246" w:rsidP="00837E7B">
      <w:pPr>
        <w:tabs>
          <w:tab w:val="left" w:pos="0"/>
        </w:tabs>
        <w:rPr>
          <w:rFonts w:cstheme="minorHAnsi"/>
          <w:b/>
          <w:sz w:val="24"/>
          <w:szCs w:val="24"/>
        </w:rPr>
      </w:pPr>
      <w:r w:rsidRPr="00FA153F">
        <w:rPr>
          <w:rFonts w:cstheme="minorHAnsi"/>
          <w:b/>
          <w:sz w:val="24"/>
          <w:szCs w:val="24"/>
        </w:rPr>
        <w:t>Strengths</w:t>
      </w:r>
    </w:p>
    <w:p w14:paraId="186F64B0" w14:textId="77777777" w:rsidR="00536AC8" w:rsidRPr="00837E7B" w:rsidRDefault="00536AC8" w:rsidP="00837E7B">
      <w:pPr>
        <w:tabs>
          <w:tab w:val="left" w:pos="0"/>
        </w:tabs>
        <w:rPr>
          <w:rFonts w:cstheme="minorHAnsi"/>
          <w:b/>
          <w:sz w:val="24"/>
          <w:szCs w:val="24"/>
        </w:rPr>
      </w:pPr>
      <w:r w:rsidRPr="003473E8">
        <w:rPr>
          <w:rFonts w:cstheme="minorHAnsi"/>
          <w:i/>
          <w:sz w:val="24"/>
          <w:szCs w:val="24"/>
        </w:rPr>
        <w:t xml:space="preserve">Human Capital </w:t>
      </w:r>
    </w:p>
    <w:p w14:paraId="04767DAC" w14:textId="6EA538AC" w:rsidR="000E106F" w:rsidRPr="00492F82" w:rsidRDefault="0071462E" w:rsidP="00837E7B">
      <w:pPr>
        <w:tabs>
          <w:tab w:val="left" w:pos="0"/>
        </w:tabs>
        <w:spacing w:before="120" w:after="120"/>
        <w:rPr>
          <w:rFonts w:eastAsia="Calibri" w:cstheme="minorHAnsi"/>
          <w:sz w:val="24"/>
          <w:szCs w:val="24"/>
        </w:rPr>
      </w:pPr>
      <w:r w:rsidRPr="00492F82">
        <w:rPr>
          <w:rFonts w:eastAsia="Calibri" w:cstheme="minorHAnsi"/>
          <w:sz w:val="24"/>
          <w:szCs w:val="24"/>
        </w:rPr>
        <w:t xml:space="preserve">At the heart of </w:t>
      </w:r>
      <w:r w:rsidR="00987BFD" w:rsidRPr="00492F82">
        <w:rPr>
          <w:rFonts w:eastAsia="Calibri" w:cstheme="minorHAnsi"/>
          <w:sz w:val="24"/>
          <w:szCs w:val="24"/>
        </w:rPr>
        <w:t xml:space="preserve">its </w:t>
      </w:r>
      <w:r w:rsidRPr="00492F82">
        <w:rPr>
          <w:rFonts w:eastAsia="Calibri" w:cstheme="minorHAnsi"/>
          <w:sz w:val="24"/>
          <w:szCs w:val="24"/>
        </w:rPr>
        <w:t>success are the people that comprise FGCU: its faculty, staff and students. FGCU’s rapid growth in student numbers has out</w:t>
      </w:r>
      <w:r w:rsidR="000E106F" w:rsidRPr="00492F82">
        <w:rPr>
          <w:rFonts w:eastAsia="Calibri" w:cstheme="minorHAnsi"/>
          <w:sz w:val="24"/>
          <w:szCs w:val="24"/>
        </w:rPr>
        <w:t>paced</w:t>
      </w:r>
      <w:r w:rsidRPr="00492F82">
        <w:rPr>
          <w:rFonts w:eastAsia="Calibri" w:cstheme="minorHAnsi"/>
          <w:sz w:val="24"/>
          <w:szCs w:val="24"/>
        </w:rPr>
        <w:t xml:space="preserve"> </w:t>
      </w:r>
      <w:r w:rsidR="000E106F" w:rsidRPr="00492F82">
        <w:rPr>
          <w:rFonts w:eastAsia="Calibri" w:cstheme="minorHAnsi"/>
          <w:sz w:val="24"/>
          <w:szCs w:val="24"/>
        </w:rPr>
        <w:t>increases</w:t>
      </w:r>
      <w:r w:rsidRPr="00492F82">
        <w:rPr>
          <w:rFonts w:eastAsia="Calibri" w:cstheme="minorHAnsi"/>
          <w:sz w:val="24"/>
          <w:szCs w:val="24"/>
        </w:rPr>
        <w:t xml:space="preserve"> in faculty and staff. As a result, faculty and staff </w:t>
      </w:r>
      <w:r w:rsidR="000E106F" w:rsidRPr="00492F82">
        <w:rPr>
          <w:rFonts w:eastAsia="Calibri" w:cstheme="minorHAnsi"/>
          <w:sz w:val="24"/>
          <w:szCs w:val="24"/>
        </w:rPr>
        <w:t>are very p</w:t>
      </w:r>
      <w:r w:rsidRPr="00492F82">
        <w:rPr>
          <w:rFonts w:eastAsia="Calibri" w:cstheme="minorHAnsi"/>
          <w:sz w:val="24"/>
          <w:szCs w:val="24"/>
        </w:rPr>
        <w:t>roductive</w:t>
      </w:r>
      <w:r w:rsidR="00AD45D2" w:rsidRPr="00492F82">
        <w:rPr>
          <w:rFonts w:eastAsia="Calibri" w:cstheme="minorHAnsi"/>
          <w:sz w:val="24"/>
          <w:szCs w:val="24"/>
        </w:rPr>
        <w:t xml:space="preserve">. FGCU’s culture promotes faculty and staff retention and consequently results in a knowledgeable and experienced cadre of </w:t>
      </w:r>
      <w:r w:rsidR="00112A5D" w:rsidRPr="00492F82">
        <w:rPr>
          <w:rFonts w:eastAsia="Calibri" w:cstheme="minorHAnsi"/>
          <w:sz w:val="24"/>
          <w:szCs w:val="24"/>
        </w:rPr>
        <w:t>professionals</w:t>
      </w:r>
      <w:r w:rsidR="00AD45D2" w:rsidRPr="00492F82">
        <w:rPr>
          <w:rFonts w:eastAsia="Calibri" w:cstheme="minorHAnsi"/>
          <w:sz w:val="24"/>
          <w:szCs w:val="24"/>
        </w:rPr>
        <w:t xml:space="preserve"> to </w:t>
      </w:r>
      <w:r w:rsidR="00DA0889" w:rsidRPr="00492F82">
        <w:rPr>
          <w:rFonts w:eastAsia="Calibri" w:cstheme="minorHAnsi"/>
          <w:sz w:val="24"/>
          <w:szCs w:val="24"/>
        </w:rPr>
        <w:t xml:space="preserve">efficiently and effectively </w:t>
      </w:r>
      <w:r w:rsidR="00112A5D" w:rsidRPr="00492F82">
        <w:rPr>
          <w:rFonts w:eastAsia="Calibri" w:cstheme="minorHAnsi"/>
          <w:sz w:val="24"/>
          <w:szCs w:val="24"/>
        </w:rPr>
        <w:t>deliver</w:t>
      </w:r>
      <w:r w:rsidR="00CB7CBF">
        <w:rPr>
          <w:rFonts w:eastAsia="Calibri" w:cstheme="minorHAnsi"/>
          <w:sz w:val="24"/>
          <w:szCs w:val="24"/>
        </w:rPr>
        <w:t xml:space="preserve"> the U</w:t>
      </w:r>
      <w:r w:rsidR="00AD45D2" w:rsidRPr="00492F82">
        <w:rPr>
          <w:rFonts w:eastAsia="Calibri" w:cstheme="minorHAnsi"/>
          <w:sz w:val="24"/>
          <w:szCs w:val="24"/>
        </w:rPr>
        <w:t>niversity’s programs and services.</w:t>
      </w:r>
      <w:r w:rsidR="00DA0889" w:rsidRPr="00492F82">
        <w:rPr>
          <w:rFonts w:eastAsia="Calibri" w:cstheme="minorHAnsi"/>
          <w:sz w:val="24"/>
          <w:szCs w:val="24"/>
        </w:rPr>
        <w:t xml:space="preserve"> </w:t>
      </w:r>
    </w:p>
    <w:tbl>
      <w:tblPr>
        <w:tblW w:w="11179" w:type="dxa"/>
        <w:tblLook w:val="04A0" w:firstRow="1" w:lastRow="0" w:firstColumn="1" w:lastColumn="0" w:noHBand="0" w:noVBand="1"/>
      </w:tblPr>
      <w:tblGrid>
        <w:gridCol w:w="9966"/>
        <w:gridCol w:w="717"/>
        <w:gridCol w:w="717"/>
        <w:gridCol w:w="717"/>
        <w:gridCol w:w="828"/>
        <w:gridCol w:w="828"/>
        <w:gridCol w:w="828"/>
        <w:gridCol w:w="828"/>
        <w:gridCol w:w="828"/>
        <w:gridCol w:w="828"/>
        <w:gridCol w:w="828"/>
        <w:gridCol w:w="976"/>
      </w:tblGrid>
      <w:tr w:rsidR="000E106F" w:rsidRPr="00DF18E5" w14:paraId="7C9326ED" w14:textId="77777777" w:rsidTr="001C6E7C">
        <w:trPr>
          <w:trHeight w:val="300"/>
        </w:trPr>
        <w:tc>
          <w:tcPr>
            <w:tcW w:w="2256" w:type="dxa"/>
            <w:tcBorders>
              <w:top w:val="nil"/>
              <w:left w:val="nil"/>
              <w:bottom w:val="nil"/>
              <w:right w:val="nil"/>
            </w:tcBorders>
            <w:shd w:val="clear" w:color="auto" w:fill="auto"/>
            <w:noWrap/>
            <w:vAlign w:val="bottom"/>
            <w:hideMark/>
          </w:tcPr>
          <w:p w14:paraId="18911715" w14:textId="173CEFB6" w:rsidR="001C6E7C" w:rsidRDefault="003A33AB" w:rsidP="001C6E7C">
            <w:pPr>
              <w:tabs>
                <w:tab w:val="left" w:pos="0"/>
              </w:tabs>
              <w:ind w:left="-108"/>
              <w:rPr>
                <w:sz w:val="24"/>
                <w:szCs w:val="24"/>
              </w:rPr>
            </w:pPr>
            <w:r w:rsidRPr="00A9248F">
              <w:rPr>
                <w:sz w:val="24"/>
                <w:szCs w:val="24"/>
              </w:rPr>
              <w:t>The faculty is well-qualified and constantly growing.</w:t>
            </w:r>
            <w:r>
              <w:rPr>
                <w:sz w:val="24"/>
                <w:szCs w:val="24"/>
              </w:rPr>
              <w:t xml:space="preserve"> </w:t>
            </w:r>
            <w:r w:rsidR="00202690">
              <w:rPr>
                <w:sz w:val="24"/>
                <w:szCs w:val="24"/>
              </w:rPr>
              <w:t xml:space="preserve">To ensure </w:t>
            </w:r>
            <w:r w:rsidR="000E1CB9">
              <w:rPr>
                <w:sz w:val="24"/>
                <w:szCs w:val="24"/>
              </w:rPr>
              <w:t>faculty members’ continued</w:t>
            </w:r>
            <w:r w:rsidR="00202690">
              <w:rPr>
                <w:sz w:val="24"/>
                <w:szCs w:val="24"/>
              </w:rPr>
              <w:t xml:space="preserve"> success</w:t>
            </w:r>
            <w:r w:rsidRPr="00C136E2">
              <w:rPr>
                <w:sz w:val="24"/>
                <w:szCs w:val="24"/>
              </w:rPr>
              <w:t>, FGCU announced the establishment of the Lucas Center for Faculty Development</w:t>
            </w:r>
            <w:r w:rsidR="000E1CB9">
              <w:rPr>
                <w:sz w:val="24"/>
                <w:szCs w:val="24"/>
              </w:rPr>
              <w:t xml:space="preserve"> in </w:t>
            </w:r>
            <w:r w:rsidR="000E1CB9" w:rsidRPr="00C136E2">
              <w:rPr>
                <w:sz w:val="24"/>
                <w:szCs w:val="24"/>
              </w:rPr>
              <w:t>February of 2014</w:t>
            </w:r>
            <w:r w:rsidRPr="00C136E2">
              <w:rPr>
                <w:sz w:val="24"/>
                <w:szCs w:val="24"/>
              </w:rPr>
              <w:t xml:space="preserve">. The Center </w:t>
            </w:r>
            <w:r w:rsidR="009833AE">
              <w:rPr>
                <w:sz w:val="24"/>
                <w:szCs w:val="24"/>
              </w:rPr>
              <w:t xml:space="preserve">is a model for other universities and </w:t>
            </w:r>
            <w:r w:rsidR="00CB7CBF">
              <w:rPr>
                <w:sz w:val="24"/>
                <w:szCs w:val="24"/>
              </w:rPr>
              <w:t>will transform the U</w:t>
            </w:r>
            <w:r w:rsidRPr="00C136E2">
              <w:rPr>
                <w:sz w:val="24"/>
                <w:szCs w:val="24"/>
              </w:rPr>
              <w:t>niversity's Teaching, Learning and Assessment Initiative by expanding training and mentoring opportunities for faculty throughout their teaching careers. This commitment to facul</w:t>
            </w:r>
            <w:r w:rsidR="00CB7CBF">
              <w:rPr>
                <w:sz w:val="24"/>
                <w:szCs w:val="24"/>
              </w:rPr>
              <w:t>ty development will assist the U</w:t>
            </w:r>
            <w:r w:rsidRPr="00C136E2">
              <w:rPr>
                <w:sz w:val="24"/>
                <w:szCs w:val="24"/>
              </w:rPr>
              <w:t>niversity in its continued growth in academic excellence within the</w:t>
            </w:r>
            <w:r>
              <w:rPr>
                <w:sz w:val="24"/>
                <w:szCs w:val="24"/>
              </w:rPr>
              <w:t xml:space="preserve"> </w:t>
            </w:r>
            <w:r w:rsidRPr="00C136E2">
              <w:rPr>
                <w:sz w:val="24"/>
                <w:szCs w:val="24"/>
              </w:rPr>
              <w:t>classroom, leading to student success and better learning outcomes.</w:t>
            </w:r>
            <w:r w:rsidRPr="00A9248F">
              <w:rPr>
                <w:sz w:val="24"/>
                <w:szCs w:val="24"/>
              </w:rPr>
              <w:t xml:space="preserve"> Full-time faculty provide roughly 80% of all instruction complemented by a cadre of experienced adjunct faculty.</w:t>
            </w:r>
            <w:r>
              <w:rPr>
                <w:sz w:val="24"/>
                <w:szCs w:val="24"/>
              </w:rPr>
              <w:t xml:space="preserve"> </w:t>
            </w:r>
            <w:r w:rsidR="00E27530">
              <w:rPr>
                <w:sz w:val="24"/>
                <w:szCs w:val="24"/>
              </w:rPr>
              <w:t>Additionally, t</w:t>
            </w:r>
            <w:r w:rsidR="00E27530" w:rsidRPr="00C136E2">
              <w:rPr>
                <w:sz w:val="24"/>
                <w:szCs w:val="24"/>
              </w:rPr>
              <w:t xml:space="preserve">he library staff includes </w:t>
            </w:r>
            <w:r w:rsidR="00E27530">
              <w:rPr>
                <w:sz w:val="24"/>
                <w:szCs w:val="24"/>
              </w:rPr>
              <w:t>18</w:t>
            </w:r>
            <w:r w:rsidR="00E27530" w:rsidRPr="00C136E2">
              <w:rPr>
                <w:sz w:val="24"/>
                <w:szCs w:val="24"/>
              </w:rPr>
              <w:t xml:space="preserve"> librarians who hold faculty rank (</w:t>
            </w:r>
            <w:r w:rsidR="00E27530">
              <w:rPr>
                <w:sz w:val="24"/>
                <w:szCs w:val="24"/>
              </w:rPr>
              <w:t>two of which are</w:t>
            </w:r>
            <w:r w:rsidR="00E27530" w:rsidRPr="00C136E2">
              <w:rPr>
                <w:sz w:val="24"/>
                <w:szCs w:val="24"/>
              </w:rPr>
              <w:t xml:space="preserve"> currently under recruitment), 4 additional professionals in technology, administrati</w:t>
            </w:r>
            <w:r w:rsidR="00E27530">
              <w:rPr>
                <w:sz w:val="24"/>
                <w:szCs w:val="24"/>
              </w:rPr>
              <w:t>on and business services, and 18</w:t>
            </w:r>
            <w:r w:rsidR="00E27530" w:rsidRPr="00C136E2">
              <w:rPr>
                <w:sz w:val="24"/>
                <w:szCs w:val="24"/>
              </w:rPr>
              <w:t>.5 support staff</w:t>
            </w:r>
            <w:r w:rsidR="00E27530">
              <w:rPr>
                <w:sz w:val="24"/>
                <w:szCs w:val="24"/>
              </w:rPr>
              <w:t xml:space="preserve"> (one of which is currently in recruitment).</w:t>
            </w:r>
          </w:p>
          <w:p w14:paraId="7D01534B" w14:textId="08ADA2FF" w:rsidR="001C6E7C" w:rsidRPr="005D5FA0" w:rsidRDefault="001C6E7C" w:rsidP="005D5FA0">
            <w:pPr>
              <w:tabs>
                <w:tab w:val="left" w:pos="0"/>
              </w:tabs>
              <w:ind w:left="-108"/>
              <w:rPr>
                <w:sz w:val="24"/>
                <w:szCs w:val="24"/>
              </w:rPr>
            </w:pPr>
            <w:r w:rsidRPr="005D5FA0">
              <w:rPr>
                <w:sz w:val="24"/>
                <w:szCs w:val="24"/>
              </w:rPr>
              <w:t>Approximately 675 Administrative and Professional (A&amp;P) and Support Personnel (SP) serve in every division of the University and are often the first points of contact at FGCU for students, parents, community members and visitors. Staff members play an integral role in the lives of students each day by supporting their development as holistically educated members of society and enhancing a variety of relevant functions including but not limited to student recruitment and retention, s</w:t>
            </w:r>
            <w:r w:rsidR="0034110F">
              <w:rPr>
                <w:sz w:val="24"/>
                <w:szCs w:val="24"/>
              </w:rPr>
              <w:t>tudent engagement and success, u</w:t>
            </w:r>
            <w:r w:rsidRPr="005D5FA0">
              <w:rPr>
                <w:sz w:val="24"/>
                <w:szCs w:val="24"/>
              </w:rPr>
              <w:t>niversity operations, and fundraising.  The persistent efforts of staff contribute to the accomplishments at FGCU that are reflected in the key metrics by which the University is measured and are instrumental in the daily operations and public recognition of FGCU.</w:t>
            </w:r>
          </w:p>
          <w:p w14:paraId="5C6FF026" w14:textId="77777777" w:rsidR="001C6E7C" w:rsidRDefault="001C6E7C" w:rsidP="001C6E7C">
            <w:pPr>
              <w:tabs>
                <w:tab w:val="left" w:pos="0"/>
              </w:tabs>
              <w:ind w:left="-108"/>
              <w:rPr>
                <w:sz w:val="24"/>
                <w:szCs w:val="24"/>
              </w:rPr>
            </w:pPr>
          </w:p>
          <w:p w14:paraId="6AEBDAA0" w14:textId="112F3E26" w:rsidR="003A33AB" w:rsidRDefault="009833AE" w:rsidP="001C6E7C">
            <w:pPr>
              <w:tabs>
                <w:tab w:val="left" w:pos="0"/>
              </w:tabs>
              <w:ind w:left="-108"/>
              <w:rPr>
                <w:sz w:val="24"/>
                <w:szCs w:val="24"/>
              </w:rPr>
            </w:pPr>
            <w:r>
              <w:rPr>
                <w:noProof/>
              </w:rPr>
              <w:lastRenderedPageBreak/>
              <w:drawing>
                <wp:inline distT="0" distB="0" distL="0" distR="0" wp14:anchorId="192FAB59" wp14:editId="54CD389E">
                  <wp:extent cx="5943600" cy="383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35400"/>
                          </a:xfrm>
                          <a:prstGeom prst="rect">
                            <a:avLst/>
                          </a:prstGeom>
                        </pic:spPr>
                      </pic:pic>
                    </a:graphicData>
                  </a:graphic>
                </wp:inline>
              </w:drawing>
            </w:r>
          </w:p>
          <w:p w14:paraId="2B743EE8" w14:textId="5493DA6D" w:rsidR="008A2654" w:rsidRPr="009F3954" w:rsidRDefault="008A2654" w:rsidP="00837E7B">
            <w:pPr>
              <w:tabs>
                <w:tab w:val="left" w:pos="0"/>
              </w:tabs>
              <w:spacing w:before="120" w:after="120"/>
              <w:rPr>
                <w:rFonts w:eastAsia="Calibri" w:cstheme="minorHAnsi"/>
                <w:b/>
                <w:sz w:val="28"/>
                <w:szCs w:val="28"/>
              </w:rPr>
            </w:pPr>
            <w:r w:rsidRPr="009F3954">
              <w:rPr>
                <w:rFonts w:ascii="Calibri" w:eastAsia="Times New Roman" w:hAnsi="Calibri" w:cs="Calibri"/>
                <w:b/>
                <w:noProof/>
                <w:color w:val="000000"/>
                <w:sz w:val="28"/>
                <w:szCs w:val="28"/>
              </w:rPr>
              <w:drawing>
                <wp:anchor distT="0" distB="0" distL="114300" distR="114300" simplePos="0" relativeHeight="251670528" behindDoc="0" locked="0" layoutInCell="1" allowOverlap="1" wp14:anchorId="00964EE9" wp14:editId="215DF15A">
                  <wp:simplePos x="0" y="0"/>
                  <wp:positionH relativeFrom="margin">
                    <wp:align>left</wp:align>
                  </wp:positionH>
                  <wp:positionV relativeFrom="paragraph">
                    <wp:posOffset>266700</wp:posOffset>
                  </wp:positionV>
                  <wp:extent cx="6179820" cy="3375660"/>
                  <wp:effectExtent l="0" t="0" r="11430" b="15240"/>
                  <wp:wrapSquare wrapText="bothSides"/>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9F3954">
              <w:rPr>
                <w:rFonts w:eastAsia="Calibri" w:cstheme="minorHAnsi"/>
                <w:b/>
                <w:sz w:val="28"/>
                <w:szCs w:val="28"/>
              </w:rPr>
              <w:t>Student Enrollment &amp; Faculty/Staff Headcount</w:t>
            </w:r>
          </w:p>
          <w:p w14:paraId="259E094C" w14:textId="77777777" w:rsidR="008A2654" w:rsidRPr="009F3954" w:rsidRDefault="008A2654" w:rsidP="00837E7B">
            <w:pPr>
              <w:tabs>
                <w:tab w:val="left" w:pos="0"/>
              </w:tabs>
              <w:spacing w:after="0"/>
              <w:rPr>
                <w:rFonts w:eastAsia="Calibri" w:cstheme="minorHAnsi"/>
                <w:sz w:val="18"/>
                <w:szCs w:val="18"/>
              </w:rPr>
            </w:pPr>
            <w:r w:rsidRPr="009F3954">
              <w:rPr>
                <w:rFonts w:eastAsia="Calibri" w:cstheme="minorHAnsi"/>
                <w:sz w:val="18"/>
                <w:szCs w:val="18"/>
              </w:rPr>
              <w:t>Source: August 2014 BOTIS Report</w:t>
            </w:r>
          </w:p>
          <w:p w14:paraId="3AD7793C" w14:textId="77777777" w:rsidR="004269B3" w:rsidRPr="003473E8" w:rsidRDefault="008A2654" w:rsidP="00837E7B">
            <w:pPr>
              <w:tabs>
                <w:tab w:val="left" w:pos="0"/>
              </w:tabs>
              <w:spacing w:after="0"/>
              <w:rPr>
                <w:rFonts w:eastAsia="Calibri" w:cstheme="minorHAnsi"/>
                <w:sz w:val="18"/>
                <w:szCs w:val="18"/>
              </w:rPr>
            </w:pPr>
            <w:r w:rsidRPr="009F3954">
              <w:rPr>
                <w:rFonts w:eastAsia="Calibri" w:cstheme="minorHAnsi"/>
                <w:sz w:val="18"/>
                <w:szCs w:val="18"/>
              </w:rPr>
              <w:t>* preliminary data</w:t>
            </w:r>
          </w:p>
          <w:p w14:paraId="7752B75A" w14:textId="77777777" w:rsidR="008A2654" w:rsidRDefault="008A2654" w:rsidP="00837E7B">
            <w:pPr>
              <w:tabs>
                <w:tab w:val="left" w:pos="0"/>
              </w:tabs>
              <w:rPr>
                <w:sz w:val="24"/>
                <w:szCs w:val="24"/>
              </w:rPr>
            </w:pPr>
          </w:p>
          <w:p w14:paraId="3B50FF9E" w14:textId="77777777" w:rsidR="00E27530" w:rsidRPr="00A9248F" w:rsidRDefault="00E27530" w:rsidP="00837E7B">
            <w:pPr>
              <w:tabs>
                <w:tab w:val="left" w:pos="0"/>
              </w:tabs>
              <w:rPr>
                <w:sz w:val="24"/>
                <w:szCs w:val="24"/>
              </w:rPr>
            </w:pPr>
          </w:p>
          <w:p w14:paraId="2D6B170F" w14:textId="77777777" w:rsidR="003A33AB" w:rsidRPr="003473E8" w:rsidRDefault="003A33AB" w:rsidP="00837E7B">
            <w:pPr>
              <w:ind w:left="-108"/>
              <w:rPr>
                <w:i/>
                <w:sz w:val="24"/>
                <w:szCs w:val="24"/>
              </w:rPr>
            </w:pPr>
            <w:r w:rsidRPr="003473E8">
              <w:rPr>
                <w:i/>
                <w:sz w:val="24"/>
                <w:szCs w:val="24"/>
              </w:rPr>
              <w:t xml:space="preserve">Student Services </w:t>
            </w:r>
            <w:r>
              <w:rPr>
                <w:i/>
                <w:sz w:val="24"/>
                <w:szCs w:val="24"/>
              </w:rPr>
              <w:t>&amp; Athletics</w:t>
            </w:r>
          </w:p>
          <w:p w14:paraId="006058F2" w14:textId="49803BCD" w:rsidR="003A33AB" w:rsidRDefault="003A33AB" w:rsidP="00837E7B">
            <w:pPr>
              <w:ind w:left="-108"/>
              <w:rPr>
                <w:sz w:val="24"/>
                <w:szCs w:val="24"/>
              </w:rPr>
            </w:pPr>
            <w:r w:rsidRPr="003F0943">
              <w:rPr>
                <w:sz w:val="24"/>
                <w:szCs w:val="24"/>
              </w:rPr>
              <w:t xml:space="preserve">Student life on campus is vigorous and </w:t>
            </w:r>
            <w:r>
              <w:rPr>
                <w:sz w:val="24"/>
                <w:szCs w:val="24"/>
              </w:rPr>
              <w:t xml:space="preserve">has grown </w:t>
            </w:r>
            <w:r w:rsidRPr="003F0943">
              <w:rPr>
                <w:sz w:val="24"/>
                <w:szCs w:val="24"/>
              </w:rPr>
              <w:t>cons</w:t>
            </w:r>
            <w:r>
              <w:rPr>
                <w:sz w:val="24"/>
                <w:szCs w:val="24"/>
              </w:rPr>
              <w:t>is</w:t>
            </w:r>
            <w:r w:rsidRPr="003F0943">
              <w:rPr>
                <w:sz w:val="24"/>
                <w:szCs w:val="24"/>
              </w:rPr>
              <w:t xml:space="preserve">tently </w:t>
            </w:r>
            <w:r>
              <w:rPr>
                <w:sz w:val="24"/>
                <w:szCs w:val="24"/>
              </w:rPr>
              <w:t>during the last decade</w:t>
            </w:r>
            <w:r w:rsidRPr="00C136E2">
              <w:rPr>
                <w:sz w:val="24"/>
                <w:szCs w:val="24"/>
              </w:rPr>
              <w:t>. Over 4,</w:t>
            </w:r>
            <w:r>
              <w:rPr>
                <w:sz w:val="24"/>
                <w:szCs w:val="24"/>
              </w:rPr>
              <w:t>7</w:t>
            </w:r>
            <w:r w:rsidRPr="00C136E2">
              <w:rPr>
                <w:sz w:val="24"/>
                <w:szCs w:val="24"/>
              </w:rPr>
              <w:t>00 students</w:t>
            </w:r>
            <w:r w:rsidRPr="003F0943">
              <w:rPr>
                <w:sz w:val="24"/>
                <w:szCs w:val="24"/>
              </w:rPr>
              <w:t xml:space="preserve"> </w:t>
            </w:r>
            <w:r w:rsidR="0034110F">
              <w:rPr>
                <w:sz w:val="24"/>
                <w:szCs w:val="24"/>
              </w:rPr>
              <w:t>reside in u</w:t>
            </w:r>
            <w:r>
              <w:rPr>
                <w:sz w:val="24"/>
                <w:szCs w:val="24"/>
              </w:rPr>
              <w:t>niversity housing</w:t>
            </w:r>
            <w:r w:rsidRPr="003F0943">
              <w:rPr>
                <w:sz w:val="24"/>
                <w:szCs w:val="24"/>
              </w:rPr>
              <w:t xml:space="preserve">. The Division of Student Affairs provides students with </w:t>
            </w:r>
            <w:r w:rsidR="000B7CC0">
              <w:rPr>
                <w:sz w:val="24"/>
                <w:szCs w:val="24"/>
              </w:rPr>
              <w:t xml:space="preserve">new student orientation, </w:t>
            </w:r>
            <w:r w:rsidRPr="003F0943">
              <w:rPr>
                <w:sz w:val="24"/>
                <w:szCs w:val="24"/>
              </w:rPr>
              <w:t xml:space="preserve">health services, counseling, </w:t>
            </w:r>
            <w:r>
              <w:rPr>
                <w:sz w:val="24"/>
                <w:szCs w:val="24"/>
              </w:rPr>
              <w:t xml:space="preserve">prevention and wellness programs, </w:t>
            </w:r>
            <w:r w:rsidRPr="003F0943">
              <w:rPr>
                <w:sz w:val="24"/>
                <w:szCs w:val="24"/>
              </w:rPr>
              <w:t>recreational opportunities, advising, housing, and career development to meet student needs</w:t>
            </w:r>
            <w:r>
              <w:rPr>
                <w:sz w:val="24"/>
                <w:szCs w:val="24"/>
              </w:rPr>
              <w:t>.  The Division delivers an exceptional first-year experience for residential students through its F</w:t>
            </w:r>
            <w:r w:rsidR="0043695D">
              <w:rPr>
                <w:sz w:val="24"/>
                <w:szCs w:val="24"/>
              </w:rPr>
              <w:t xml:space="preserve">irst </w:t>
            </w:r>
            <w:r>
              <w:rPr>
                <w:sz w:val="24"/>
                <w:szCs w:val="24"/>
              </w:rPr>
              <w:t>Y</w:t>
            </w:r>
            <w:r w:rsidR="0043695D">
              <w:rPr>
                <w:sz w:val="24"/>
                <w:szCs w:val="24"/>
              </w:rPr>
              <w:t xml:space="preserve">ear Residential </w:t>
            </w:r>
            <w:r>
              <w:rPr>
                <w:sz w:val="24"/>
                <w:szCs w:val="24"/>
              </w:rPr>
              <w:t>E</w:t>
            </w:r>
            <w:r w:rsidR="0043695D">
              <w:rPr>
                <w:sz w:val="24"/>
                <w:szCs w:val="24"/>
              </w:rPr>
              <w:t>xperience (FYRE)</w:t>
            </w:r>
            <w:r>
              <w:rPr>
                <w:sz w:val="24"/>
                <w:szCs w:val="24"/>
              </w:rPr>
              <w:t xml:space="preserve"> program</w:t>
            </w:r>
            <w:r w:rsidRPr="003F0943">
              <w:rPr>
                <w:sz w:val="24"/>
                <w:szCs w:val="24"/>
              </w:rPr>
              <w:t xml:space="preserve">. </w:t>
            </w:r>
            <w:r w:rsidR="000B6E6F">
              <w:rPr>
                <w:sz w:val="24"/>
                <w:szCs w:val="24"/>
              </w:rPr>
              <w:t>W</w:t>
            </w:r>
            <w:r w:rsidRPr="003F0943">
              <w:rPr>
                <w:sz w:val="24"/>
                <w:szCs w:val="24"/>
              </w:rPr>
              <w:t>ell-coordinated student judicial affairs and student leadership program</w:t>
            </w:r>
            <w:r w:rsidR="000B6E6F">
              <w:rPr>
                <w:sz w:val="24"/>
                <w:szCs w:val="24"/>
              </w:rPr>
              <w:t>s</w:t>
            </w:r>
            <w:r w:rsidRPr="003F0943">
              <w:rPr>
                <w:sz w:val="24"/>
                <w:szCs w:val="24"/>
              </w:rPr>
              <w:t xml:space="preserve"> help round out student development.</w:t>
            </w:r>
          </w:p>
          <w:p w14:paraId="0B40DBC3" w14:textId="35316FB3" w:rsidR="000E1CB9" w:rsidRDefault="008A2654" w:rsidP="00837E7B">
            <w:pPr>
              <w:ind w:left="-108"/>
              <w:rPr>
                <w:sz w:val="24"/>
                <w:szCs w:val="24"/>
              </w:rPr>
            </w:pPr>
            <w:r w:rsidRPr="00A9248F">
              <w:rPr>
                <w:sz w:val="24"/>
                <w:szCs w:val="24"/>
              </w:rPr>
              <w:t xml:space="preserve">The </w:t>
            </w:r>
            <w:r w:rsidR="00CB7CBF">
              <w:rPr>
                <w:sz w:val="24"/>
                <w:szCs w:val="24"/>
              </w:rPr>
              <w:t>University</w:t>
            </w:r>
            <w:r w:rsidRPr="00A9248F">
              <w:rPr>
                <w:sz w:val="24"/>
                <w:szCs w:val="24"/>
              </w:rPr>
              <w:t xml:space="preserve">’s athletic </w:t>
            </w:r>
            <w:r w:rsidRPr="005D5FA0">
              <w:rPr>
                <w:sz w:val="24"/>
                <w:szCs w:val="24"/>
              </w:rPr>
              <w:t xml:space="preserve">program has expanded rapidly to accommodate the growth of a regional comprehensive university. </w:t>
            </w:r>
            <w:r w:rsidR="005D5FA0" w:rsidRPr="005D5FA0">
              <w:rPr>
                <w:sz w:val="24"/>
                <w:szCs w:val="24"/>
              </w:rPr>
              <w:t>FGCU has won a combined 36 conference regular season and tournament championships in just seven years in Division I as a member of the Atlantic Sun Conference and Coastal Collegiate Swimming Association.</w:t>
            </w:r>
            <w:r w:rsidR="005D5FA0">
              <w:rPr>
                <w:sz w:val="24"/>
                <w:szCs w:val="24"/>
              </w:rPr>
              <w:t xml:space="preserve"> </w:t>
            </w:r>
            <w:r w:rsidRPr="00A9248F">
              <w:rPr>
                <w:sz w:val="24"/>
                <w:szCs w:val="24"/>
              </w:rPr>
              <w:t>The success of its programs and its student athletes is remarkable</w:t>
            </w:r>
            <w:r w:rsidR="000E1CB9">
              <w:rPr>
                <w:sz w:val="24"/>
                <w:szCs w:val="24"/>
              </w:rPr>
              <w:t>,</w:t>
            </w:r>
            <w:r w:rsidRPr="00A9248F">
              <w:rPr>
                <w:sz w:val="24"/>
                <w:szCs w:val="24"/>
              </w:rPr>
              <w:t xml:space="preserve"> and the community support the program receives is extremely gratifying. The campus is fortunate to have state-of-the-art facilities to support the program as it </w:t>
            </w:r>
            <w:r>
              <w:rPr>
                <w:sz w:val="24"/>
                <w:szCs w:val="24"/>
              </w:rPr>
              <w:t xml:space="preserve">successfully </w:t>
            </w:r>
            <w:r w:rsidRPr="00A07EA9">
              <w:rPr>
                <w:sz w:val="24"/>
                <w:szCs w:val="24"/>
              </w:rPr>
              <w:t xml:space="preserve">made the transition to </w:t>
            </w:r>
            <w:r w:rsidR="000B7CC0">
              <w:rPr>
                <w:sz w:val="24"/>
                <w:szCs w:val="24"/>
              </w:rPr>
              <w:t>National Collegiate Athletic Association (</w:t>
            </w:r>
            <w:r w:rsidRPr="00A07EA9">
              <w:rPr>
                <w:sz w:val="24"/>
                <w:szCs w:val="24"/>
              </w:rPr>
              <w:t>NCAA</w:t>
            </w:r>
            <w:r w:rsidR="000B7CC0">
              <w:rPr>
                <w:sz w:val="24"/>
                <w:szCs w:val="24"/>
              </w:rPr>
              <w:t>)</w:t>
            </w:r>
            <w:r w:rsidRPr="00A07EA9">
              <w:rPr>
                <w:sz w:val="24"/>
                <w:szCs w:val="24"/>
              </w:rPr>
              <w:t xml:space="preserve"> Division I. During its second year of post-season eligibility in the NCAA’s Division I, </w:t>
            </w:r>
            <w:r>
              <w:rPr>
                <w:sz w:val="24"/>
                <w:szCs w:val="24"/>
              </w:rPr>
              <w:t xml:space="preserve">the </w:t>
            </w:r>
            <w:r w:rsidRPr="00A07EA9">
              <w:rPr>
                <w:sz w:val="24"/>
                <w:szCs w:val="24"/>
              </w:rPr>
              <w:t xml:space="preserve">FGCU men’s basketball </w:t>
            </w:r>
            <w:r>
              <w:rPr>
                <w:sz w:val="24"/>
                <w:szCs w:val="24"/>
              </w:rPr>
              <w:t xml:space="preserve">team </w:t>
            </w:r>
            <w:r w:rsidRPr="00A07EA9">
              <w:rPr>
                <w:sz w:val="24"/>
                <w:szCs w:val="24"/>
              </w:rPr>
              <w:t>garnered national attention as the first 15</w:t>
            </w:r>
            <w:r w:rsidRPr="00A07EA9">
              <w:rPr>
                <w:sz w:val="24"/>
                <w:szCs w:val="24"/>
                <w:vertAlign w:val="superscript"/>
              </w:rPr>
              <w:t>th</w:t>
            </w:r>
            <w:r w:rsidRPr="00A07EA9">
              <w:rPr>
                <w:sz w:val="24"/>
                <w:szCs w:val="24"/>
              </w:rPr>
              <w:t xml:space="preserve"> seed team to advance to the </w:t>
            </w:r>
            <w:r>
              <w:rPr>
                <w:sz w:val="24"/>
                <w:szCs w:val="24"/>
              </w:rPr>
              <w:t>“</w:t>
            </w:r>
            <w:r w:rsidRPr="00A07EA9">
              <w:rPr>
                <w:sz w:val="24"/>
                <w:szCs w:val="24"/>
              </w:rPr>
              <w:t>sweet sixteen</w:t>
            </w:r>
            <w:r>
              <w:rPr>
                <w:sz w:val="24"/>
                <w:szCs w:val="24"/>
              </w:rPr>
              <w:t>”</w:t>
            </w:r>
            <w:r w:rsidR="000E1CB9">
              <w:rPr>
                <w:sz w:val="24"/>
                <w:szCs w:val="24"/>
              </w:rPr>
              <w:t xml:space="preserve"> round,</w:t>
            </w:r>
            <w:r w:rsidRPr="00A07EA9">
              <w:rPr>
                <w:sz w:val="24"/>
                <w:szCs w:val="24"/>
              </w:rPr>
              <w:t xml:space="preserve"> all the while maint</w:t>
            </w:r>
            <w:r w:rsidR="000E1CB9">
              <w:rPr>
                <w:sz w:val="24"/>
                <w:szCs w:val="24"/>
              </w:rPr>
              <w:t xml:space="preserve">aining an average </w:t>
            </w:r>
            <w:r w:rsidR="000B7CC0">
              <w:rPr>
                <w:sz w:val="24"/>
                <w:szCs w:val="24"/>
              </w:rPr>
              <w:t>grade point average (</w:t>
            </w:r>
            <w:r w:rsidR="000E1CB9">
              <w:rPr>
                <w:sz w:val="24"/>
                <w:szCs w:val="24"/>
              </w:rPr>
              <w:t>GPA</w:t>
            </w:r>
            <w:r w:rsidR="000B7CC0">
              <w:rPr>
                <w:sz w:val="24"/>
                <w:szCs w:val="24"/>
              </w:rPr>
              <w:t>)</w:t>
            </w:r>
            <w:r w:rsidR="000E1CB9">
              <w:rPr>
                <w:sz w:val="24"/>
                <w:szCs w:val="24"/>
              </w:rPr>
              <w:t xml:space="preserve"> over 3.0. </w:t>
            </w:r>
          </w:p>
          <w:p w14:paraId="523B82E2" w14:textId="498847AC" w:rsidR="000E106F" w:rsidRPr="000E1CB9" w:rsidRDefault="000E1CB9" w:rsidP="004230E5">
            <w:pPr>
              <w:spacing w:before="120" w:after="120"/>
              <w:rPr>
                <w:sz w:val="24"/>
                <w:szCs w:val="24"/>
              </w:rPr>
            </w:pPr>
            <w:r>
              <w:rPr>
                <w:sz w:val="24"/>
                <w:szCs w:val="24"/>
              </w:rPr>
              <w:t>D</w:t>
            </w:r>
            <w:r w:rsidR="0015660B">
              <w:rPr>
                <w:sz w:val="24"/>
                <w:szCs w:val="24"/>
              </w:rPr>
              <w:t xml:space="preserve">uring </w:t>
            </w:r>
            <w:r>
              <w:rPr>
                <w:bCs/>
                <w:sz w:val="24"/>
                <w:szCs w:val="24"/>
              </w:rPr>
              <w:t>2013 and 20</w:t>
            </w:r>
            <w:r w:rsidR="0015660B">
              <w:rPr>
                <w:bCs/>
                <w:sz w:val="24"/>
                <w:szCs w:val="24"/>
              </w:rPr>
              <w:t>14, F</w:t>
            </w:r>
            <w:r w:rsidR="0015660B" w:rsidRPr="0015660B">
              <w:rPr>
                <w:bCs/>
                <w:sz w:val="24"/>
                <w:szCs w:val="24"/>
              </w:rPr>
              <w:t xml:space="preserve">GCU </w:t>
            </w:r>
            <w:r w:rsidR="0015660B">
              <w:rPr>
                <w:bCs/>
                <w:sz w:val="24"/>
                <w:szCs w:val="24"/>
              </w:rPr>
              <w:t>won regular</w:t>
            </w:r>
            <w:r w:rsidR="0015660B" w:rsidRPr="0015660B">
              <w:rPr>
                <w:bCs/>
                <w:sz w:val="24"/>
                <w:szCs w:val="24"/>
              </w:rPr>
              <w:t>-</w:t>
            </w:r>
            <w:r w:rsidR="0015660B">
              <w:rPr>
                <w:bCs/>
                <w:sz w:val="24"/>
                <w:szCs w:val="24"/>
              </w:rPr>
              <w:t>season</w:t>
            </w:r>
            <w:r w:rsidR="0015660B" w:rsidRPr="0015660B">
              <w:rPr>
                <w:bCs/>
                <w:sz w:val="24"/>
                <w:szCs w:val="24"/>
              </w:rPr>
              <w:t xml:space="preserve"> A</w:t>
            </w:r>
            <w:r w:rsidR="0015660B">
              <w:rPr>
                <w:bCs/>
                <w:sz w:val="24"/>
                <w:szCs w:val="24"/>
              </w:rPr>
              <w:t>tlantic Sun</w:t>
            </w:r>
            <w:r w:rsidR="000B7CC0">
              <w:rPr>
                <w:bCs/>
                <w:sz w:val="24"/>
                <w:szCs w:val="24"/>
              </w:rPr>
              <w:t xml:space="preserve"> (A-Sun)</w:t>
            </w:r>
            <w:r w:rsidR="0015660B">
              <w:rPr>
                <w:bCs/>
                <w:sz w:val="24"/>
                <w:szCs w:val="24"/>
              </w:rPr>
              <w:t xml:space="preserve"> Conference </w:t>
            </w:r>
            <w:r w:rsidR="0015660B" w:rsidRPr="0015660B">
              <w:rPr>
                <w:bCs/>
                <w:sz w:val="24"/>
                <w:szCs w:val="24"/>
              </w:rPr>
              <w:t>C</w:t>
            </w:r>
            <w:r w:rsidR="0015660B">
              <w:rPr>
                <w:bCs/>
                <w:sz w:val="24"/>
                <w:szCs w:val="24"/>
              </w:rPr>
              <w:t>hampionships</w:t>
            </w:r>
            <w:r w:rsidR="0015660B" w:rsidRPr="0015660B">
              <w:rPr>
                <w:bCs/>
                <w:sz w:val="24"/>
                <w:szCs w:val="24"/>
              </w:rPr>
              <w:t xml:space="preserve"> </w:t>
            </w:r>
            <w:r w:rsidR="005D5FA0">
              <w:rPr>
                <w:bCs/>
                <w:sz w:val="24"/>
                <w:szCs w:val="24"/>
              </w:rPr>
              <w:t xml:space="preserve">in men’s soccer, men’s </w:t>
            </w:r>
            <w:r w:rsidR="0015660B">
              <w:rPr>
                <w:bCs/>
                <w:sz w:val="24"/>
                <w:szCs w:val="24"/>
              </w:rPr>
              <w:t>basketball</w:t>
            </w:r>
            <w:r w:rsidR="0015660B" w:rsidRPr="0015660B">
              <w:rPr>
                <w:bCs/>
                <w:sz w:val="24"/>
                <w:szCs w:val="24"/>
              </w:rPr>
              <w:t xml:space="preserve"> </w:t>
            </w:r>
            <w:r w:rsidR="005D5FA0">
              <w:rPr>
                <w:bCs/>
                <w:sz w:val="24"/>
                <w:szCs w:val="24"/>
              </w:rPr>
              <w:t xml:space="preserve">and baseball; as well as </w:t>
            </w:r>
            <w:r w:rsidR="0015660B" w:rsidRPr="0015660B">
              <w:rPr>
                <w:bCs/>
                <w:sz w:val="24"/>
                <w:szCs w:val="24"/>
              </w:rPr>
              <w:t xml:space="preserve">women’s soccer, and </w:t>
            </w:r>
            <w:r w:rsidR="0015660B">
              <w:rPr>
                <w:bCs/>
                <w:sz w:val="24"/>
                <w:szCs w:val="24"/>
              </w:rPr>
              <w:t>soft</w:t>
            </w:r>
            <w:r w:rsidR="0015660B" w:rsidRPr="0015660B">
              <w:rPr>
                <w:bCs/>
                <w:sz w:val="24"/>
                <w:szCs w:val="24"/>
              </w:rPr>
              <w:t>ball, with women’s basketball claiming its second A-Sun Tournament title</w:t>
            </w:r>
            <w:r w:rsidR="005D5FA0">
              <w:rPr>
                <w:bCs/>
                <w:sz w:val="24"/>
                <w:szCs w:val="24"/>
              </w:rPr>
              <w:t xml:space="preserve"> and NCAA tournament berth.</w:t>
            </w:r>
            <w:r>
              <w:rPr>
                <w:sz w:val="24"/>
                <w:szCs w:val="24"/>
              </w:rPr>
              <w:t xml:space="preserve">  </w:t>
            </w:r>
            <w:r w:rsidR="008A2654">
              <w:rPr>
                <w:sz w:val="24"/>
                <w:szCs w:val="24"/>
              </w:rPr>
              <w:t xml:space="preserve">Student athletes </w:t>
            </w:r>
            <w:r w:rsidR="005D5FA0">
              <w:rPr>
                <w:sz w:val="24"/>
                <w:szCs w:val="24"/>
              </w:rPr>
              <w:t xml:space="preserve">also </w:t>
            </w:r>
            <w:r w:rsidR="008A2654">
              <w:rPr>
                <w:sz w:val="24"/>
                <w:szCs w:val="24"/>
              </w:rPr>
              <w:t xml:space="preserve">have a competitive edge </w:t>
            </w:r>
            <w:r w:rsidR="008A2654" w:rsidRPr="005D5FA0">
              <w:rPr>
                <w:sz w:val="24"/>
                <w:szCs w:val="24"/>
              </w:rPr>
              <w:t xml:space="preserve">academically. During spring of 2014, the average student athlete GPA </w:t>
            </w:r>
            <w:r w:rsidR="007F025E">
              <w:rPr>
                <w:sz w:val="24"/>
                <w:szCs w:val="24"/>
              </w:rPr>
              <w:t xml:space="preserve">at FGCU </w:t>
            </w:r>
            <w:r w:rsidR="008A2654" w:rsidRPr="005D5FA0">
              <w:rPr>
                <w:sz w:val="24"/>
                <w:szCs w:val="24"/>
              </w:rPr>
              <w:t xml:space="preserve">was 3.24, </w:t>
            </w:r>
            <w:r w:rsidR="007F025E">
              <w:rPr>
                <w:sz w:val="24"/>
                <w:szCs w:val="24"/>
              </w:rPr>
              <w:t xml:space="preserve">which was </w:t>
            </w:r>
            <w:r w:rsidR="008A2654" w:rsidRPr="005D5FA0">
              <w:rPr>
                <w:sz w:val="24"/>
                <w:szCs w:val="24"/>
              </w:rPr>
              <w:t xml:space="preserve">higher than the overall student body </w:t>
            </w:r>
            <w:r w:rsidR="00837E7B" w:rsidRPr="005D5FA0">
              <w:rPr>
                <w:sz w:val="24"/>
                <w:szCs w:val="24"/>
              </w:rPr>
              <w:t xml:space="preserve">for the 11th straight semester.  </w:t>
            </w:r>
            <w:r w:rsidR="005D5FA0" w:rsidRPr="005D5FA0">
              <w:rPr>
                <w:sz w:val="24"/>
                <w:szCs w:val="24"/>
              </w:rPr>
              <w:t xml:space="preserve">FGCU’s student-athletes achieved a record-tying 3.31 semester GPA and a record-breaking 3.33 cumulative GPA in the Fall of 2013. </w:t>
            </w:r>
            <w:r w:rsidR="00837E7B" w:rsidRPr="005D5FA0">
              <w:rPr>
                <w:sz w:val="24"/>
                <w:szCs w:val="24"/>
              </w:rPr>
              <w:t>T</w:t>
            </w:r>
            <w:r w:rsidR="00E27530" w:rsidRPr="005D5FA0">
              <w:rPr>
                <w:sz w:val="24"/>
                <w:szCs w:val="24"/>
              </w:rPr>
              <w:t>he</w:t>
            </w:r>
            <w:r w:rsidR="00E27530">
              <w:rPr>
                <w:sz w:val="24"/>
                <w:szCs w:val="24"/>
              </w:rPr>
              <w:t xml:space="preserve"> athletic</w:t>
            </w:r>
            <w:r w:rsidR="00E27530" w:rsidRPr="00A9248F">
              <w:rPr>
                <w:sz w:val="24"/>
                <w:szCs w:val="24"/>
              </w:rPr>
              <w:t xml:space="preserve"> administrative staff and coaches are </w:t>
            </w:r>
            <w:r w:rsidR="00E27530" w:rsidRPr="009E334B">
              <w:rPr>
                <w:sz w:val="24"/>
                <w:szCs w:val="24"/>
              </w:rPr>
              <w:t xml:space="preserve">very experienced and professionally </w:t>
            </w:r>
            <w:r w:rsidR="00E27530" w:rsidRPr="00376657">
              <w:rPr>
                <w:sz w:val="24"/>
                <w:szCs w:val="24"/>
              </w:rPr>
              <w:t>accomplished</w:t>
            </w:r>
            <w:r w:rsidR="00CB3AB7" w:rsidRPr="00376657">
              <w:rPr>
                <w:sz w:val="24"/>
                <w:szCs w:val="24"/>
              </w:rPr>
              <w:t xml:space="preserve"> and, combined with the student-athletes, collectively volunteer over 5,000 hours annually in community service (6,000 plus hours in 2013-14).</w:t>
            </w:r>
          </w:p>
        </w:tc>
        <w:tc>
          <w:tcPr>
            <w:tcW w:w="717" w:type="dxa"/>
            <w:tcBorders>
              <w:top w:val="nil"/>
              <w:left w:val="nil"/>
              <w:bottom w:val="nil"/>
              <w:right w:val="nil"/>
            </w:tcBorders>
            <w:shd w:val="clear" w:color="auto" w:fill="auto"/>
            <w:noWrap/>
            <w:vAlign w:val="bottom"/>
          </w:tcPr>
          <w:p w14:paraId="50190569"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6AF17E95"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14:paraId="4D921A7B"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14:paraId="790EC05D"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14:paraId="45F6AE44"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14:paraId="2388318F"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14:paraId="3AE20009"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14:paraId="0B281EE2"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14:paraId="1D356DC4"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14:paraId="25C0AB62"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7B8466" w14:textId="77777777" w:rsidR="000E106F" w:rsidRPr="00DF18E5" w:rsidRDefault="000E106F" w:rsidP="00837E7B">
            <w:pPr>
              <w:tabs>
                <w:tab w:val="left" w:pos="0"/>
              </w:tabs>
              <w:spacing w:after="0" w:line="240" w:lineRule="auto"/>
              <w:rPr>
                <w:rFonts w:ascii="Times New Roman" w:eastAsia="Times New Roman" w:hAnsi="Times New Roman" w:cs="Times New Roman"/>
                <w:sz w:val="20"/>
                <w:szCs w:val="20"/>
              </w:rPr>
            </w:pPr>
          </w:p>
        </w:tc>
      </w:tr>
    </w:tbl>
    <w:p w14:paraId="34494543" w14:textId="77777777" w:rsidR="00536AC8" w:rsidRPr="003473E8" w:rsidRDefault="001B7E72" w:rsidP="00837E7B">
      <w:pPr>
        <w:tabs>
          <w:tab w:val="left" w:pos="90"/>
        </w:tabs>
        <w:spacing w:before="120" w:after="120"/>
        <w:rPr>
          <w:rFonts w:eastAsia="Calibri" w:cstheme="minorHAnsi"/>
          <w:i/>
          <w:sz w:val="24"/>
          <w:szCs w:val="24"/>
        </w:rPr>
      </w:pPr>
      <w:r w:rsidRPr="003473E8">
        <w:rPr>
          <w:rFonts w:eastAsia="Calibri" w:cstheme="minorHAnsi"/>
          <w:i/>
          <w:sz w:val="24"/>
          <w:szCs w:val="24"/>
        </w:rPr>
        <w:lastRenderedPageBreak/>
        <w:t xml:space="preserve">Physical </w:t>
      </w:r>
      <w:r w:rsidR="00536AC8" w:rsidRPr="003473E8">
        <w:rPr>
          <w:rFonts w:eastAsia="Calibri" w:cstheme="minorHAnsi"/>
          <w:i/>
          <w:sz w:val="24"/>
          <w:szCs w:val="24"/>
        </w:rPr>
        <w:t xml:space="preserve">Plant &amp; Grounds </w:t>
      </w:r>
    </w:p>
    <w:p w14:paraId="79F2FC38" w14:textId="0F1FFC6E" w:rsidR="00837E7B" w:rsidRPr="0015660B" w:rsidRDefault="00C5786A" w:rsidP="00837E7B">
      <w:pPr>
        <w:tabs>
          <w:tab w:val="left" w:pos="0"/>
        </w:tabs>
        <w:spacing w:before="120" w:after="120"/>
        <w:rPr>
          <w:rFonts w:eastAsia="Calibri" w:cstheme="minorHAnsi"/>
          <w:sz w:val="24"/>
          <w:szCs w:val="24"/>
        </w:rPr>
      </w:pPr>
      <w:r w:rsidRPr="00492F82">
        <w:rPr>
          <w:rFonts w:eastAsia="Calibri" w:cstheme="minorHAnsi"/>
          <w:sz w:val="24"/>
          <w:szCs w:val="24"/>
        </w:rPr>
        <w:t xml:space="preserve">The </w:t>
      </w:r>
      <w:r w:rsidR="00CB7CBF">
        <w:rPr>
          <w:rFonts w:eastAsia="Calibri" w:cstheme="minorHAnsi"/>
          <w:sz w:val="24"/>
          <w:szCs w:val="24"/>
        </w:rPr>
        <w:t>University</w:t>
      </w:r>
      <w:r w:rsidRPr="00492F82">
        <w:rPr>
          <w:rFonts w:eastAsia="Calibri" w:cstheme="minorHAnsi"/>
          <w:sz w:val="24"/>
          <w:szCs w:val="24"/>
        </w:rPr>
        <w:t xml:space="preserve">’s state-of-the art physical plant is among the </w:t>
      </w:r>
      <w:r w:rsidR="009833AE">
        <w:rPr>
          <w:rFonts w:eastAsia="Calibri" w:cstheme="minorHAnsi"/>
          <w:sz w:val="24"/>
          <w:szCs w:val="24"/>
        </w:rPr>
        <w:t xml:space="preserve">youngest in the </w:t>
      </w:r>
      <w:r w:rsidR="009833AE" w:rsidRPr="00492F82">
        <w:rPr>
          <w:rFonts w:eastAsia="Calibri" w:cstheme="minorHAnsi"/>
          <w:sz w:val="24"/>
          <w:szCs w:val="24"/>
        </w:rPr>
        <w:t>State</w:t>
      </w:r>
      <w:r w:rsidR="00C136E2" w:rsidRPr="00492F82">
        <w:rPr>
          <w:rFonts w:eastAsia="Calibri" w:cstheme="minorHAnsi"/>
          <w:sz w:val="24"/>
          <w:szCs w:val="24"/>
        </w:rPr>
        <w:t xml:space="preserve"> </w:t>
      </w:r>
      <w:r w:rsidR="00987BFD" w:rsidRPr="00492F82">
        <w:rPr>
          <w:rFonts w:eastAsia="Calibri" w:cstheme="minorHAnsi"/>
          <w:sz w:val="24"/>
          <w:szCs w:val="24"/>
        </w:rPr>
        <w:t>U</w:t>
      </w:r>
      <w:r w:rsidRPr="00492F82">
        <w:rPr>
          <w:rFonts w:eastAsia="Calibri" w:cstheme="minorHAnsi"/>
          <w:sz w:val="24"/>
          <w:szCs w:val="24"/>
        </w:rPr>
        <w:t xml:space="preserve">niversity </w:t>
      </w:r>
      <w:r w:rsidR="00987BFD" w:rsidRPr="00492F82">
        <w:rPr>
          <w:rFonts w:eastAsia="Calibri" w:cstheme="minorHAnsi"/>
          <w:sz w:val="24"/>
          <w:szCs w:val="24"/>
        </w:rPr>
        <w:t>S</w:t>
      </w:r>
      <w:r w:rsidRPr="00492F82">
        <w:rPr>
          <w:rFonts w:eastAsia="Calibri" w:cstheme="minorHAnsi"/>
          <w:sz w:val="24"/>
          <w:szCs w:val="24"/>
        </w:rPr>
        <w:t>ystem. It is characterized by low deferred maintenance and technological innovation</w:t>
      </w:r>
      <w:r w:rsidR="000B6E6F">
        <w:rPr>
          <w:rFonts w:eastAsia="Calibri" w:cstheme="minorHAnsi"/>
          <w:sz w:val="24"/>
          <w:szCs w:val="24"/>
        </w:rPr>
        <w:t>s</w:t>
      </w:r>
      <w:r w:rsidRPr="00492F82">
        <w:rPr>
          <w:rFonts w:eastAsia="Calibri" w:cstheme="minorHAnsi"/>
          <w:sz w:val="24"/>
          <w:szCs w:val="24"/>
        </w:rPr>
        <w:t xml:space="preserve"> including </w:t>
      </w:r>
      <w:r w:rsidR="00112A5D" w:rsidRPr="00492F82">
        <w:rPr>
          <w:rFonts w:eastAsia="Calibri" w:cstheme="minorHAnsi"/>
          <w:sz w:val="24"/>
          <w:szCs w:val="24"/>
        </w:rPr>
        <w:t xml:space="preserve">signature facilities for specialized fields, </w:t>
      </w:r>
      <w:r w:rsidRPr="00492F82">
        <w:rPr>
          <w:rFonts w:eastAsia="Calibri" w:cstheme="minorHAnsi"/>
          <w:sz w:val="24"/>
          <w:szCs w:val="24"/>
        </w:rPr>
        <w:t xml:space="preserve">energy-efficient systems </w:t>
      </w:r>
      <w:r w:rsidR="00C841F7">
        <w:rPr>
          <w:rFonts w:eastAsia="Calibri" w:cstheme="minorHAnsi"/>
          <w:sz w:val="24"/>
          <w:szCs w:val="24"/>
        </w:rPr>
        <w:t>for</w:t>
      </w:r>
      <w:r w:rsidRPr="00492F82">
        <w:rPr>
          <w:rFonts w:eastAsia="Calibri" w:cstheme="minorHAnsi"/>
          <w:sz w:val="24"/>
          <w:szCs w:val="24"/>
        </w:rPr>
        <w:t xml:space="preserve"> cooling and </w:t>
      </w:r>
      <w:r w:rsidRPr="00492F82">
        <w:rPr>
          <w:rFonts w:eastAsia="Calibri" w:cstheme="minorHAnsi"/>
          <w:sz w:val="24"/>
          <w:szCs w:val="24"/>
        </w:rPr>
        <w:lastRenderedPageBreak/>
        <w:t>electricity generation</w:t>
      </w:r>
      <w:r w:rsidR="00112A5D" w:rsidRPr="00492F82">
        <w:rPr>
          <w:rFonts w:eastAsia="Calibri" w:cstheme="minorHAnsi"/>
          <w:sz w:val="24"/>
          <w:szCs w:val="24"/>
        </w:rPr>
        <w:t>,</w:t>
      </w:r>
      <w:r w:rsidRPr="00492F82">
        <w:rPr>
          <w:rFonts w:eastAsia="Calibri" w:cstheme="minorHAnsi"/>
          <w:sz w:val="24"/>
          <w:szCs w:val="24"/>
        </w:rPr>
        <w:t xml:space="preserve"> and </w:t>
      </w:r>
      <w:r w:rsidR="0043695D" w:rsidRPr="0043695D">
        <w:rPr>
          <w:rFonts w:eastAsia="Calibri" w:cstheme="minorHAnsi"/>
          <w:sz w:val="24"/>
          <w:szCs w:val="24"/>
        </w:rPr>
        <w:t>Leadership in Energy and Environmental Design (LEED)</w:t>
      </w:r>
      <w:r w:rsidRPr="00492F82">
        <w:rPr>
          <w:rFonts w:eastAsia="Calibri" w:cstheme="minorHAnsi"/>
          <w:sz w:val="24"/>
          <w:szCs w:val="24"/>
        </w:rPr>
        <w:t xml:space="preserve"> certified buildings. While the </w:t>
      </w:r>
      <w:r w:rsidR="002D026F">
        <w:rPr>
          <w:rFonts w:eastAsia="Calibri" w:cstheme="minorHAnsi"/>
          <w:sz w:val="24"/>
          <w:szCs w:val="24"/>
        </w:rPr>
        <w:t>800</w:t>
      </w:r>
      <w:r w:rsidRPr="00492F82">
        <w:rPr>
          <w:rFonts w:eastAsia="Calibri" w:cstheme="minorHAnsi"/>
          <w:sz w:val="24"/>
          <w:szCs w:val="24"/>
        </w:rPr>
        <w:t>-acre campus is located on environmentally sensitive land, there</w:t>
      </w:r>
      <w:r w:rsidR="0015660B">
        <w:rPr>
          <w:rFonts w:eastAsia="Calibri" w:cstheme="minorHAnsi"/>
          <w:sz w:val="24"/>
          <w:szCs w:val="24"/>
        </w:rPr>
        <w:t xml:space="preserve"> is</w:t>
      </w:r>
      <w:r w:rsidRPr="00492F82">
        <w:rPr>
          <w:rFonts w:eastAsia="Calibri" w:cstheme="minorHAnsi"/>
          <w:sz w:val="24"/>
          <w:szCs w:val="24"/>
        </w:rPr>
        <w:t xml:space="preserve"> </w:t>
      </w:r>
      <w:r w:rsidR="00536AC8">
        <w:rPr>
          <w:rFonts w:eastAsia="Calibri" w:cstheme="minorHAnsi"/>
          <w:sz w:val="24"/>
          <w:szCs w:val="24"/>
        </w:rPr>
        <w:t xml:space="preserve">potential for </w:t>
      </w:r>
      <w:r w:rsidRPr="00492F82">
        <w:rPr>
          <w:rFonts w:eastAsia="Calibri" w:cstheme="minorHAnsi"/>
          <w:sz w:val="24"/>
          <w:szCs w:val="24"/>
        </w:rPr>
        <w:t>growth</w:t>
      </w:r>
      <w:r w:rsidR="00536AC8">
        <w:rPr>
          <w:rFonts w:eastAsia="Calibri" w:cstheme="minorHAnsi"/>
          <w:sz w:val="24"/>
          <w:szCs w:val="24"/>
        </w:rPr>
        <w:t xml:space="preserve"> if ecological systems and waterways continue to be carefully monitored and best practices for sustainable land management are followed</w:t>
      </w:r>
      <w:r w:rsidRPr="00492F82">
        <w:rPr>
          <w:rFonts w:eastAsia="Calibri" w:cstheme="minorHAnsi"/>
          <w:sz w:val="24"/>
          <w:szCs w:val="24"/>
        </w:rPr>
        <w:t>.</w:t>
      </w:r>
    </w:p>
    <w:p w14:paraId="79C2EB39" w14:textId="36E57130" w:rsidR="00536AC8" w:rsidRPr="003473E8" w:rsidRDefault="00536AC8" w:rsidP="00837E7B">
      <w:pPr>
        <w:tabs>
          <w:tab w:val="left" w:pos="0"/>
        </w:tabs>
        <w:spacing w:before="120" w:after="120"/>
        <w:rPr>
          <w:rFonts w:eastAsia="Calibri" w:cstheme="minorHAnsi"/>
          <w:i/>
          <w:sz w:val="24"/>
          <w:szCs w:val="24"/>
        </w:rPr>
      </w:pPr>
      <w:r w:rsidRPr="003473E8">
        <w:rPr>
          <w:rFonts w:eastAsia="Calibri" w:cstheme="minorHAnsi"/>
          <w:i/>
          <w:sz w:val="24"/>
          <w:szCs w:val="24"/>
        </w:rPr>
        <w:t xml:space="preserve">Academic Programs </w:t>
      </w:r>
    </w:p>
    <w:p w14:paraId="45C6E5B7" w14:textId="6FE59930" w:rsidR="001D01CB" w:rsidRPr="00492F82" w:rsidRDefault="00C5786A" w:rsidP="00837E7B">
      <w:pPr>
        <w:tabs>
          <w:tab w:val="left" w:pos="0"/>
        </w:tabs>
        <w:spacing w:before="120" w:after="120"/>
        <w:rPr>
          <w:rFonts w:eastAsia="Calibri" w:cstheme="minorHAnsi"/>
          <w:sz w:val="24"/>
          <w:szCs w:val="24"/>
        </w:rPr>
      </w:pPr>
      <w:r w:rsidRPr="00492F82">
        <w:rPr>
          <w:rFonts w:eastAsia="Calibri" w:cstheme="minorHAnsi"/>
          <w:sz w:val="24"/>
          <w:szCs w:val="24"/>
        </w:rPr>
        <w:t>FGCU has developed and implemented a broad array of academic offerings over a short period of</w:t>
      </w:r>
      <w:r w:rsidR="00691791" w:rsidRPr="00492F82">
        <w:rPr>
          <w:rFonts w:eastAsia="Calibri" w:cstheme="minorHAnsi"/>
          <w:sz w:val="24"/>
          <w:szCs w:val="24"/>
        </w:rPr>
        <w:t xml:space="preserve"> time. </w:t>
      </w:r>
      <w:r w:rsidR="00B764E0" w:rsidRPr="00492F82">
        <w:rPr>
          <w:rFonts w:eastAsia="Calibri" w:cstheme="minorHAnsi"/>
          <w:sz w:val="24"/>
          <w:szCs w:val="24"/>
        </w:rPr>
        <w:t>As of fall 2014</w:t>
      </w:r>
      <w:r w:rsidR="00691791" w:rsidRPr="00492F82">
        <w:rPr>
          <w:rFonts w:eastAsia="Calibri" w:cstheme="minorHAnsi"/>
          <w:sz w:val="24"/>
          <w:szCs w:val="24"/>
        </w:rPr>
        <w:t>, FGCU offers 5</w:t>
      </w:r>
      <w:r w:rsidR="00B764E0" w:rsidRPr="00492F82">
        <w:rPr>
          <w:rFonts w:eastAsia="Calibri" w:cstheme="minorHAnsi"/>
          <w:sz w:val="24"/>
          <w:szCs w:val="24"/>
        </w:rPr>
        <w:t>2</w:t>
      </w:r>
      <w:r w:rsidRPr="00492F82">
        <w:rPr>
          <w:rFonts w:eastAsia="Calibri" w:cstheme="minorHAnsi"/>
          <w:sz w:val="24"/>
          <w:szCs w:val="24"/>
        </w:rPr>
        <w:t xml:space="preserve"> undergraduate programs leading to the baccalaureate</w:t>
      </w:r>
      <w:r w:rsidR="00B764E0" w:rsidRPr="00492F82">
        <w:rPr>
          <w:rFonts w:eastAsia="Calibri" w:cstheme="minorHAnsi"/>
          <w:sz w:val="24"/>
          <w:szCs w:val="24"/>
        </w:rPr>
        <w:t xml:space="preserve"> degree</w:t>
      </w:r>
      <w:r w:rsidRPr="00492F82">
        <w:rPr>
          <w:rFonts w:eastAsia="Calibri" w:cstheme="minorHAnsi"/>
          <w:sz w:val="24"/>
          <w:szCs w:val="24"/>
        </w:rPr>
        <w:t xml:space="preserve">, </w:t>
      </w:r>
      <w:r w:rsidR="00B764E0" w:rsidRPr="00492F82">
        <w:rPr>
          <w:rFonts w:eastAsia="Calibri" w:cstheme="minorHAnsi"/>
          <w:sz w:val="24"/>
          <w:szCs w:val="24"/>
        </w:rPr>
        <w:t xml:space="preserve">24 </w:t>
      </w:r>
      <w:r w:rsidRPr="00492F82">
        <w:rPr>
          <w:rFonts w:eastAsia="Calibri" w:cstheme="minorHAnsi"/>
          <w:sz w:val="24"/>
          <w:szCs w:val="24"/>
        </w:rPr>
        <w:t xml:space="preserve">masters programs, </w:t>
      </w:r>
      <w:r w:rsidR="00B764E0" w:rsidRPr="00492F82">
        <w:rPr>
          <w:rFonts w:eastAsia="Calibri" w:cstheme="minorHAnsi"/>
          <w:sz w:val="24"/>
          <w:szCs w:val="24"/>
        </w:rPr>
        <w:t xml:space="preserve">and </w:t>
      </w:r>
      <w:r w:rsidR="009A3D84" w:rsidRPr="00492F82">
        <w:rPr>
          <w:rFonts w:eastAsia="Calibri" w:cstheme="minorHAnsi"/>
          <w:sz w:val="24"/>
          <w:szCs w:val="24"/>
        </w:rPr>
        <w:t>two doctora</w:t>
      </w:r>
      <w:r w:rsidR="00B764E0" w:rsidRPr="00492F82">
        <w:rPr>
          <w:rFonts w:eastAsia="Calibri" w:cstheme="minorHAnsi"/>
          <w:sz w:val="24"/>
          <w:szCs w:val="24"/>
        </w:rPr>
        <w:t>l</w:t>
      </w:r>
      <w:r w:rsidR="009A3D84" w:rsidRPr="00492F82">
        <w:rPr>
          <w:rFonts w:eastAsia="Calibri" w:cstheme="minorHAnsi"/>
          <w:sz w:val="24"/>
          <w:szCs w:val="24"/>
        </w:rPr>
        <w:t xml:space="preserve"> degree programs (</w:t>
      </w:r>
      <w:proofErr w:type="spellStart"/>
      <w:r w:rsidR="009A3D84" w:rsidRPr="00492F82">
        <w:rPr>
          <w:rFonts w:eastAsia="Calibri" w:cstheme="minorHAnsi"/>
          <w:sz w:val="24"/>
          <w:szCs w:val="24"/>
        </w:rPr>
        <w:t>Ed</w:t>
      </w:r>
      <w:r w:rsidR="00B764E0" w:rsidRPr="00492F82">
        <w:rPr>
          <w:rFonts w:eastAsia="Calibri" w:cstheme="minorHAnsi"/>
          <w:sz w:val="24"/>
          <w:szCs w:val="24"/>
        </w:rPr>
        <w:t>.</w:t>
      </w:r>
      <w:r w:rsidR="009A3D84" w:rsidRPr="00492F82">
        <w:rPr>
          <w:rFonts w:eastAsia="Calibri" w:cstheme="minorHAnsi"/>
          <w:sz w:val="24"/>
          <w:szCs w:val="24"/>
        </w:rPr>
        <w:t>D</w:t>
      </w:r>
      <w:proofErr w:type="spellEnd"/>
      <w:r w:rsidR="00B764E0" w:rsidRPr="00492F82">
        <w:rPr>
          <w:rFonts w:eastAsia="Calibri" w:cstheme="minorHAnsi"/>
          <w:sz w:val="24"/>
          <w:szCs w:val="24"/>
        </w:rPr>
        <w:t>.</w:t>
      </w:r>
      <w:r w:rsidR="009A3D84" w:rsidRPr="00492F82">
        <w:rPr>
          <w:rFonts w:eastAsia="Calibri" w:cstheme="minorHAnsi"/>
          <w:sz w:val="24"/>
          <w:szCs w:val="24"/>
        </w:rPr>
        <w:t xml:space="preserve"> and D</w:t>
      </w:r>
      <w:r w:rsidR="00B764E0" w:rsidRPr="00492F82">
        <w:rPr>
          <w:rFonts w:eastAsia="Calibri" w:cstheme="minorHAnsi"/>
          <w:sz w:val="24"/>
          <w:szCs w:val="24"/>
        </w:rPr>
        <w:t>.</w:t>
      </w:r>
      <w:r w:rsidR="009A3D84" w:rsidRPr="00492F82">
        <w:rPr>
          <w:rFonts w:eastAsia="Calibri" w:cstheme="minorHAnsi"/>
          <w:sz w:val="24"/>
          <w:szCs w:val="24"/>
        </w:rPr>
        <w:t>P</w:t>
      </w:r>
      <w:r w:rsidR="00B764E0" w:rsidRPr="00492F82">
        <w:rPr>
          <w:rFonts w:eastAsia="Calibri" w:cstheme="minorHAnsi"/>
          <w:sz w:val="24"/>
          <w:szCs w:val="24"/>
        </w:rPr>
        <w:t>.</w:t>
      </w:r>
      <w:r w:rsidR="009A3D84" w:rsidRPr="00492F82">
        <w:rPr>
          <w:rFonts w:eastAsia="Calibri" w:cstheme="minorHAnsi"/>
          <w:sz w:val="24"/>
          <w:szCs w:val="24"/>
        </w:rPr>
        <w:t>T</w:t>
      </w:r>
      <w:r w:rsidR="00B764E0" w:rsidRPr="00492F82">
        <w:rPr>
          <w:rFonts w:eastAsia="Calibri" w:cstheme="minorHAnsi"/>
          <w:sz w:val="24"/>
          <w:szCs w:val="24"/>
        </w:rPr>
        <w:t>.</w:t>
      </w:r>
      <w:r w:rsidR="009A3D84" w:rsidRPr="00492F82">
        <w:rPr>
          <w:rFonts w:eastAsia="Calibri" w:cstheme="minorHAnsi"/>
          <w:sz w:val="24"/>
          <w:szCs w:val="24"/>
        </w:rPr>
        <w:t>)</w:t>
      </w:r>
      <w:r w:rsidRPr="00492F82">
        <w:rPr>
          <w:rFonts w:eastAsia="Calibri" w:cstheme="minorHAnsi"/>
          <w:sz w:val="24"/>
          <w:szCs w:val="24"/>
        </w:rPr>
        <w:t>. Many of these programs have a professional orientat</w:t>
      </w:r>
      <w:r w:rsidR="000B7CC0">
        <w:rPr>
          <w:rFonts w:eastAsia="Calibri" w:cstheme="minorHAnsi"/>
          <w:sz w:val="24"/>
          <w:szCs w:val="24"/>
        </w:rPr>
        <w:t>ion and the U</w:t>
      </w:r>
      <w:r w:rsidRPr="00492F82">
        <w:rPr>
          <w:rFonts w:eastAsia="Calibri" w:cstheme="minorHAnsi"/>
          <w:sz w:val="24"/>
          <w:szCs w:val="24"/>
        </w:rPr>
        <w:t xml:space="preserve">niversity </w:t>
      </w:r>
      <w:r w:rsidR="00B764E0" w:rsidRPr="00492F82">
        <w:rPr>
          <w:rFonts w:eastAsia="Calibri" w:cstheme="minorHAnsi"/>
          <w:sz w:val="24"/>
          <w:szCs w:val="24"/>
        </w:rPr>
        <w:t>holds</w:t>
      </w:r>
      <w:r w:rsidR="009A3D84" w:rsidRPr="00492F82">
        <w:rPr>
          <w:rFonts w:eastAsia="Calibri" w:cstheme="minorHAnsi"/>
          <w:sz w:val="24"/>
          <w:szCs w:val="24"/>
        </w:rPr>
        <w:t xml:space="preserve"> </w:t>
      </w:r>
      <w:r w:rsidRPr="00492F82">
        <w:rPr>
          <w:rFonts w:eastAsia="Calibri" w:cstheme="minorHAnsi"/>
          <w:sz w:val="24"/>
          <w:szCs w:val="24"/>
        </w:rPr>
        <w:t>specialized accreditation</w:t>
      </w:r>
      <w:r w:rsidR="00C136E2" w:rsidRPr="00492F82">
        <w:rPr>
          <w:rFonts w:eastAsia="Calibri" w:cstheme="minorHAnsi"/>
          <w:sz w:val="24"/>
          <w:szCs w:val="24"/>
        </w:rPr>
        <w:t xml:space="preserve"> </w:t>
      </w:r>
      <w:r w:rsidR="00B764E0" w:rsidRPr="00492F82">
        <w:rPr>
          <w:rFonts w:eastAsia="Calibri" w:cstheme="minorHAnsi"/>
          <w:sz w:val="24"/>
          <w:szCs w:val="24"/>
        </w:rPr>
        <w:t xml:space="preserve">from </w:t>
      </w:r>
      <w:r w:rsidR="00C136E2" w:rsidRPr="00492F82">
        <w:rPr>
          <w:rFonts w:eastAsia="Calibri" w:cstheme="minorHAnsi"/>
          <w:sz w:val="24"/>
          <w:szCs w:val="24"/>
        </w:rPr>
        <w:t>1</w:t>
      </w:r>
      <w:r w:rsidR="00B764E0" w:rsidRPr="00492F82">
        <w:rPr>
          <w:rFonts w:eastAsia="Calibri" w:cstheme="minorHAnsi"/>
          <w:sz w:val="24"/>
          <w:szCs w:val="24"/>
        </w:rPr>
        <w:t>5</w:t>
      </w:r>
      <w:r w:rsidR="00C136E2" w:rsidRPr="00492F82">
        <w:rPr>
          <w:rFonts w:eastAsia="Calibri" w:cstheme="minorHAnsi"/>
          <w:sz w:val="24"/>
          <w:szCs w:val="24"/>
        </w:rPr>
        <w:t xml:space="preserve"> different professional accredit</w:t>
      </w:r>
      <w:r w:rsidR="00B764E0" w:rsidRPr="00492F82">
        <w:rPr>
          <w:rFonts w:eastAsia="Calibri" w:cstheme="minorHAnsi"/>
          <w:sz w:val="24"/>
          <w:szCs w:val="24"/>
        </w:rPr>
        <w:t>ing bodies</w:t>
      </w:r>
      <w:r w:rsidRPr="00492F82">
        <w:rPr>
          <w:rFonts w:eastAsia="Calibri" w:cstheme="minorHAnsi"/>
          <w:sz w:val="24"/>
          <w:szCs w:val="24"/>
        </w:rPr>
        <w:t xml:space="preserve">. </w:t>
      </w:r>
    </w:p>
    <w:p w14:paraId="7A6768A1" w14:textId="3700EA84" w:rsidR="001D01CB" w:rsidRPr="001D01CB" w:rsidRDefault="001D01CB" w:rsidP="00837E7B">
      <w:pPr>
        <w:tabs>
          <w:tab w:val="left" w:pos="0"/>
        </w:tabs>
        <w:rPr>
          <w:b/>
          <w:bCs/>
          <w:sz w:val="24"/>
          <w:szCs w:val="24"/>
          <w:u w:val="single"/>
        </w:rPr>
      </w:pPr>
      <w:r w:rsidRPr="00C136E2">
        <w:rPr>
          <w:b/>
          <w:bCs/>
          <w:sz w:val="24"/>
          <w:szCs w:val="24"/>
          <w:u w:val="single"/>
        </w:rPr>
        <w:t xml:space="preserve">Table 1. Current </w:t>
      </w:r>
      <w:r w:rsidR="001C6E7C">
        <w:rPr>
          <w:b/>
          <w:bCs/>
          <w:sz w:val="24"/>
          <w:szCs w:val="24"/>
          <w:u w:val="single"/>
        </w:rPr>
        <w:t xml:space="preserve">(2014) </w:t>
      </w:r>
      <w:r w:rsidRPr="00C136E2">
        <w:rPr>
          <w:b/>
          <w:bCs/>
          <w:sz w:val="24"/>
          <w:szCs w:val="24"/>
          <w:u w:val="single"/>
        </w:rPr>
        <w:t>Specialized Accreditations</w:t>
      </w:r>
      <w:r w:rsidRPr="001D01CB">
        <w:rPr>
          <w:b/>
          <w:bCs/>
          <w:sz w:val="24"/>
          <w:szCs w:val="24"/>
          <w:u w:val="single"/>
        </w:rPr>
        <w:t xml:space="preserve"> </w:t>
      </w:r>
    </w:p>
    <w:tbl>
      <w:tblPr>
        <w:tblpPr w:leftFromText="180" w:rightFromText="180" w:vertAnchor="text" w:horzAnchor="margin" w:tblpY="460"/>
        <w:tblW w:w="9124" w:type="dxa"/>
        <w:tblCellMar>
          <w:left w:w="0" w:type="dxa"/>
          <w:right w:w="0" w:type="dxa"/>
        </w:tblCellMar>
        <w:tblLook w:val="04A0" w:firstRow="1" w:lastRow="0" w:firstColumn="1" w:lastColumn="0" w:noHBand="0" w:noVBand="1"/>
      </w:tblPr>
      <w:tblGrid>
        <w:gridCol w:w="9124"/>
      </w:tblGrid>
      <w:tr w:rsidR="009A3D84" w14:paraId="066DB3D7"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5EFCE" w14:textId="77777777" w:rsidR="009A3D84" w:rsidRDefault="009A3D84" w:rsidP="00837E7B">
            <w:pPr>
              <w:tabs>
                <w:tab w:val="left" w:pos="0"/>
              </w:tabs>
              <w:rPr>
                <w:rFonts w:ascii="Calibri" w:hAnsi="Calibri" w:cs="Calibri"/>
                <w:color w:val="000000"/>
              </w:rPr>
            </w:pPr>
            <w:proofErr w:type="spellStart"/>
            <w:r>
              <w:rPr>
                <w:rFonts w:ascii="Calibri" w:hAnsi="Calibri" w:cs="Calibri"/>
                <w:color w:val="000000"/>
              </w:rPr>
              <w:t>Lutgert</w:t>
            </w:r>
            <w:proofErr w:type="spellEnd"/>
            <w:r>
              <w:rPr>
                <w:rFonts w:ascii="Calibri" w:hAnsi="Calibri" w:cs="Calibri"/>
                <w:color w:val="000000"/>
              </w:rPr>
              <w:t xml:space="preserve"> College of Business - The Association to Advance Collegiate Schools of Business</w:t>
            </w:r>
            <w:r w:rsidR="00B764E0">
              <w:rPr>
                <w:rFonts w:ascii="Calibri" w:hAnsi="Calibri" w:cs="Calibri"/>
                <w:color w:val="000000"/>
              </w:rPr>
              <w:t xml:space="preserve"> (AACSB International)</w:t>
            </w:r>
          </w:p>
        </w:tc>
      </w:tr>
      <w:tr w:rsidR="009A3D84" w14:paraId="3C7985F9"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8F847" w14:textId="77777777" w:rsidR="009A3D84" w:rsidRDefault="009A3D84" w:rsidP="00837E7B">
            <w:pPr>
              <w:tabs>
                <w:tab w:val="left" w:pos="0"/>
              </w:tabs>
              <w:rPr>
                <w:rFonts w:ascii="Calibri" w:hAnsi="Calibri" w:cs="Calibri"/>
                <w:color w:val="000000"/>
              </w:rPr>
            </w:pPr>
            <w:r>
              <w:rPr>
                <w:rFonts w:ascii="Calibri" w:hAnsi="Calibri" w:cs="Calibri"/>
                <w:color w:val="000000"/>
              </w:rPr>
              <w:t xml:space="preserve">The College of Education </w:t>
            </w:r>
            <w:r w:rsidR="00B764E0">
              <w:rPr>
                <w:rFonts w:ascii="Calibri" w:hAnsi="Calibri" w:cs="Calibri"/>
                <w:color w:val="000000"/>
              </w:rPr>
              <w:t>–</w:t>
            </w:r>
            <w:r>
              <w:rPr>
                <w:rFonts w:ascii="Calibri" w:hAnsi="Calibri" w:cs="Calibri"/>
                <w:color w:val="000000"/>
              </w:rPr>
              <w:t xml:space="preserve"> </w:t>
            </w:r>
            <w:r w:rsidR="00B764E0">
              <w:rPr>
                <w:rFonts w:ascii="Calibri" w:hAnsi="Calibri" w:cs="Calibri"/>
                <w:color w:val="000000"/>
              </w:rPr>
              <w:t xml:space="preserve">The </w:t>
            </w:r>
            <w:r>
              <w:rPr>
                <w:rFonts w:ascii="Calibri" w:hAnsi="Calibri" w:cs="Calibri"/>
                <w:color w:val="000000"/>
              </w:rPr>
              <w:t>National Council for Accreditation of Teacher Education</w:t>
            </w:r>
            <w:r w:rsidR="00B764E0">
              <w:rPr>
                <w:rFonts w:ascii="Calibri" w:hAnsi="Calibri" w:cs="Calibri"/>
                <w:color w:val="000000"/>
              </w:rPr>
              <w:t xml:space="preserve"> (NCATE)</w:t>
            </w:r>
          </w:p>
        </w:tc>
      </w:tr>
      <w:tr w:rsidR="009A3D84" w14:paraId="5B252FEB"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5748E" w14:textId="77777777" w:rsidR="009A3D84" w:rsidRDefault="009A3D84" w:rsidP="00837E7B">
            <w:pPr>
              <w:tabs>
                <w:tab w:val="left" w:pos="0"/>
              </w:tabs>
              <w:rPr>
                <w:rFonts w:ascii="Calibri" w:hAnsi="Calibri" w:cs="Calibri"/>
                <w:color w:val="000000"/>
              </w:rPr>
            </w:pPr>
            <w:r>
              <w:rPr>
                <w:rFonts w:ascii="Calibri" w:hAnsi="Calibri" w:cs="Calibri"/>
                <w:color w:val="000000"/>
              </w:rPr>
              <w:t>Master of Public Administration - N</w:t>
            </w:r>
            <w:r w:rsidR="00C841F7">
              <w:rPr>
                <w:rFonts w:ascii="Calibri" w:hAnsi="Calibri" w:cs="Calibri"/>
                <w:color w:val="000000"/>
              </w:rPr>
              <w:t>etwork</w:t>
            </w:r>
            <w:r>
              <w:rPr>
                <w:rFonts w:ascii="Calibri" w:hAnsi="Calibri" w:cs="Calibri"/>
                <w:color w:val="000000"/>
              </w:rPr>
              <w:t xml:space="preserve"> of Schools of Public </w:t>
            </w:r>
            <w:r w:rsidR="00C841F7">
              <w:rPr>
                <w:rFonts w:ascii="Calibri" w:hAnsi="Calibri" w:cs="Calibri"/>
                <w:color w:val="000000"/>
              </w:rPr>
              <w:t xml:space="preserve">Policy, </w:t>
            </w:r>
            <w:r>
              <w:rPr>
                <w:rFonts w:ascii="Calibri" w:hAnsi="Calibri" w:cs="Calibri"/>
                <w:color w:val="000000"/>
              </w:rPr>
              <w:t>Affairs</w:t>
            </w:r>
            <w:r w:rsidR="00C841F7">
              <w:rPr>
                <w:rFonts w:ascii="Calibri" w:hAnsi="Calibri" w:cs="Calibri"/>
                <w:color w:val="000000"/>
              </w:rPr>
              <w:t>,</w:t>
            </w:r>
            <w:r>
              <w:rPr>
                <w:rFonts w:ascii="Calibri" w:hAnsi="Calibri" w:cs="Calibri"/>
                <w:color w:val="000000"/>
              </w:rPr>
              <w:t xml:space="preserve"> and Administration</w:t>
            </w:r>
            <w:r w:rsidR="00B764E0">
              <w:rPr>
                <w:rFonts w:ascii="Calibri" w:hAnsi="Calibri" w:cs="Calibri"/>
                <w:color w:val="000000"/>
              </w:rPr>
              <w:t xml:space="preserve"> (NASPAA)</w:t>
            </w:r>
          </w:p>
        </w:tc>
      </w:tr>
      <w:tr w:rsidR="009A3D84" w14:paraId="36BBD1D6"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C3D63" w14:textId="77777777" w:rsidR="009A3D84" w:rsidRDefault="009A3D84" w:rsidP="00837E7B">
            <w:pPr>
              <w:tabs>
                <w:tab w:val="left" w:pos="0"/>
              </w:tabs>
              <w:rPr>
                <w:rFonts w:ascii="Calibri" w:hAnsi="Calibri" w:cs="Calibri"/>
                <w:color w:val="000000"/>
              </w:rPr>
            </w:pPr>
            <w:r>
              <w:rPr>
                <w:rFonts w:ascii="Calibri" w:hAnsi="Calibri" w:cs="Calibri"/>
                <w:color w:val="000000"/>
              </w:rPr>
              <w:t>Master of Science in Nursing Anesthesia - Council on Accreditation of Nurse Anesthesia Educational programs</w:t>
            </w:r>
            <w:r w:rsidR="00B764E0">
              <w:rPr>
                <w:rFonts w:ascii="Calibri" w:hAnsi="Calibri" w:cs="Calibri"/>
                <w:color w:val="000000"/>
              </w:rPr>
              <w:t xml:space="preserve"> (COA)</w:t>
            </w:r>
          </w:p>
        </w:tc>
      </w:tr>
      <w:tr w:rsidR="009A3D84" w14:paraId="367F64C9"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DD489" w14:textId="68E5E899" w:rsidR="009A3D84" w:rsidRDefault="009A3D84" w:rsidP="009833AE">
            <w:pPr>
              <w:tabs>
                <w:tab w:val="left" w:pos="0"/>
              </w:tabs>
              <w:rPr>
                <w:rFonts w:ascii="Calibri" w:hAnsi="Calibri" w:cs="Calibri"/>
                <w:color w:val="000000"/>
              </w:rPr>
            </w:pPr>
            <w:r>
              <w:rPr>
                <w:rFonts w:ascii="Calibri" w:hAnsi="Calibri" w:cs="Calibri"/>
                <w:color w:val="000000"/>
              </w:rPr>
              <w:t>Master of Science in Occupational Therapy - Accreditation Council for Occupational Therapy Education</w:t>
            </w:r>
            <w:r w:rsidR="00B764E0">
              <w:rPr>
                <w:rFonts w:ascii="Calibri" w:hAnsi="Calibri" w:cs="Calibri"/>
                <w:color w:val="000000"/>
              </w:rPr>
              <w:t xml:space="preserve"> (ACOTE)</w:t>
            </w:r>
          </w:p>
        </w:tc>
      </w:tr>
      <w:tr w:rsidR="009A3D84" w14:paraId="4C3CF38F"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A44C4" w14:textId="571936AF" w:rsidR="009A3D84" w:rsidRDefault="009A3D84" w:rsidP="009833AE">
            <w:pPr>
              <w:tabs>
                <w:tab w:val="left" w:pos="0"/>
              </w:tabs>
              <w:rPr>
                <w:rFonts w:ascii="Calibri" w:hAnsi="Calibri" w:cs="Calibri"/>
                <w:color w:val="000000"/>
              </w:rPr>
            </w:pPr>
            <w:r>
              <w:rPr>
                <w:rFonts w:ascii="Calibri" w:hAnsi="Calibri" w:cs="Calibri"/>
                <w:color w:val="000000"/>
              </w:rPr>
              <w:t>Doctor of Physical Therapy - Commission on Accreditation in Physical Therapy Education</w:t>
            </w:r>
            <w:r w:rsidR="00B764E0">
              <w:rPr>
                <w:rFonts w:ascii="Calibri" w:hAnsi="Calibri" w:cs="Calibri"/>
                <w:color w:val="000000"/>
              </w:rPr>
              <w:t xml:space="preserve"> (CAPTE)</w:t>
            </w:r>
          </w:p>
        </w:tc>
      </w:tr>
      <w:tr w:rsidR="009A3D84" w14:paraId="38CEC600"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8A56A" w14:textId="7D53B023" w:rsidR="009A3D84" w:rsidRDefault="009A3D84" w:rsidP="009833AE">
            <w:pPr>
              <w:tabs>
                <w:tab w:val="left" w:pos="0"/>
              </w:tabs>
              <w:rPr>
                <w:rFonts w:ascii="Calibri" w:hAnsi="Calibri" w:cs="Calibri"/>
                <w:color w:val="000000"/>
              </w:rPr>
            </w:pPr>
            <w:r>
              <w:rPr>
                <w:rFonts w:ascii="Calibri" w:hAnsi="Calibri" w:cs="Calibri"/>
                <w:color w:val="000000"/>
              </w:rPr>
              <w:t>M.A.</w:t>
            </w:r>
            <w:r w:rsidR="00B764E0">
              <w:rPr>
                <w:rFonts w:ascii="Calibri" w:hAnsi="Calibri" w:cs="Calibri"/>
                <w:color w:val="000000"/>
              </w:rPr>
              <w:t xml:space="preserve"> School Counseling; M.A. Clinical Mental Health Counseling;</w:t>
            </w:r>
            <w:r>
              <w:rPr>
                <w:rFonts w:ascii="Calibri" w:hAnsi="Calibri" w:cs="Calibri"/>
                <w:color w:val="000000"/>
              </w:rPr>
              <w:t xml:space="preserve"> </w:t>
            </w:r>
            <w:r w:rsidR="00B764E0">
              <w:rPr>
                <w:rFonts w:ascii="Calibri" w:hAnsi="Calibri" w:cs="Calibri"/>
                <w:color w:val="000000"/>
              </w:rPr>
              <w:t xml:space="preserve">and </w:t>
            </w:r>
            <w:r>
              <w:rPr>
                <w:rFonts w:ascii="Calibri" w:hAnsi="Calibri" w:cs="Calibri"/>
                <w:color w:val="000000"/>
              </w:rPr>
              <w:t xml:space="preserve">M.Ed. in </w:t>
            </w:r>
            <w:r w:rsidR="00B764E0">
              <w:rPr>
                <w:rFonts w:ascii="Calibri" w:hAnsi="Calibri" w:cs="Calibri"/>
                <w:color w:val="000000"/>
              </w:rPr>
              <w:t xml:space="preserve">School </w:t>
            </w:r>
            <w:r>
              <w:rPr>
                <w:rFonts w:ascii="Calibri" w:hAnsi="Calibri" w:cs="Calibri"/>
                <w:color w:val="000000"/>
              </w:rPr>
              <w:t>Counseling - Council for Accreditation of Counseling and Related Educational Programs</w:t>
            </w:r>
            <w:r w:rsidR="00B764E0">
              <w:rPr>
                <w:rFonts w:ascii="Calibri" w:hAnsi="Calibri" w:cs="Calibri"/>
                <w:color w:val="000000"/>
              </w:rPr>
              <w:t xml:space="preserve"> (CACREP)</w:t>
            </w:r>
          </w:p>
        </w:tc>
      </w:tr>
      <w:tr w:rsidR="009A3D84" w14:paraId="50FA72C8"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EB674" w14:textId="77777777" w:rsidR="009A3D84" w:rsidRDefault="009A3D84" w:rsidP="00837E7B">
            <w:pPr>
              <w:tabs>
                <w:tab w:val="left" w:pos="0"/>
              </w:tabs>
              <w:rPr>
                <w:rFonts w:ascii="Calibri" w:hAnsi="Calibri" w:cs="Calibri"/>
                <w:color w:val="000000"/>
              </w:rPr>
            </w:pPr>
            <w:r>
              <w:rPr>
                <w:rFonts w:ascii="Calibri" w:hAnsi="Calibri" w:cs="Calibri"/>
                <w:color w:val="000000"/>
              </w:rPr>
              <w:t>B.S.N. and M.S.N. (in Nursing) - Commission on Collegiate Nursing Education</w:t>
            </w:r>
            <w:r w:rsidR="00B764E0">
              <w:rPr>
                <w:rFonts w:ascii="Calibri" w:hAnsi="Calibri" w:cs="Calibri"/>
                <w:color w:val="000000"/>
              </w:rPr>
              <w:t xml:space="preserve"> (CCNE)</w:t>
            </w:r>
          </w:p>
        </w:tc>
      </w:tr>
      <w:tr w:rsidR="009A3D84" w14:paraId="5D292B7F" w14:textId="77777777" w:rsidTr="003111DE">
        <w:trPr>
          <w:trHeight w:val="300"/>
        </w:trPr>
        <w:tc>
          <w:tcPr>
            <w:tcW w:w="9124"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3123933" w14:textId="77777777" w:rsidR="009A3D84" w:rsidRDefault="009A3D84" w:rsidP="00837E7B">
            <w:pPr>
              <w:tabs>
                <w:tab w:val="left" w:pos="0"/>
              </w:tabs>
              <w:rPr>
                <w:rFonts w:ascii="Calibri" w:hAnsi="Calibri" w:cs="Calibri"/>
                <w:color w:val="000000"/>
              </w:rPr>
            </w:pPr>
            <w:r>
              <w:rPr>
                <w:rFonts w:ascii="Calibri" w:hAnsi="Calibri" w:cs="Calibri"/>
                <w:color w:val="000000"/>
              </w:rPr>
              <w:t>B.S.W.</w:t>
            </w:r>
            <w:r w:rsidR="00B764E0">
              <w:rPr>
                <w:rFonts w:ascii="Calibri" w:hAnsi="Calibri" w:cs="Calibri"/>
                <w:color w:val="000000"/>
              </w:rPr>
              <w:t xml:space="preserve"> and M.S.W.</w:t>
            </w:r>
            <w:r>
              <w:rPr>
                <w:rFonts w:ascii="Calibri" w:hAnsi="Calibri" w:cs="Calibri"/>
                <w:color w:val="000000"/>
              </w:rPr>
              <w:t xml:space="preserve"> (in Social Work) - Council on Social Work Education</w:t>
            </w:r>
            <w:r w:rsidR="00B764E0">
              <w:rPr>
                <w:rFonts w:ascii="Calibri" w:hAnsi="Calibri" w:cs="Calibri"/>
                <w:color w:val="000000"/>
              </w:rPr>
              <w:t xml:space="preserve"> (CSWE)</w:t>
            </w:r>
          </w:p>
        </w:tc>
      </w:tr>
      <w:tr w:rsidR="009A3D84" w14:paraId="545AD928" w14:textId="77777777" w:rsidTr="003111DE">
        <w:trPr>
          <w:trHeight w:val="300"/>
        </w:trPr>
        <w:tc>
          <w:tcPr>
            <w:tcW w:w="912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69C67" w14:textId="77777777" w:rsidR="009A3D84" w:rsidRDefault="009A3D84" w:rsidP="00837E7B">
            <w:pPr>
              <w:tabs>
                <w:tab w:val="left" w:pos="0"/>
              </w:tabs>
              <w:rPr>
                <w:rFonts w:ascii="Calibri" w:hAnsi="Calibri" w:cs="Calibri"/>
                <w:color w:val="000000"/>
              </w:rPr>
            </w:pPr>
          </w:p>
        </w:tc>
      </w:tr>
      <w:tr w:rsidR="009A3D84" w14:paraId="7569BAB1"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9C725" w14:textId="77777777" w:rsidR="009A3D84" w:rsidRDefault="009A3D84" w:rsidP="00837E7B">
            <w:pPr>
              <w:tabs>
                <w:tab w:val="left" w:pos="0"/>
              </w:tabs>
              <w:rPr>
                <w:rFonts w:ascii="Calibri" w:hAnsi="Calibri" w:cs="Calibri"/>
                <w:color w:val="000000"/>
              </w:rPr>
            </w:pPr>
            <w:r>
              <w:rPr>
                <w:rFonts w:ascii="Calibri" w:hAnsi="Calibri" w:cs="Calibri"/>
                <w:color w:val="000000"/>
              </w:rPr>
              <w:t>Bachelor of Science in Clinical Laboratory Science - National Accrediting Agency for Clinical Laboratory Sciences</w:t>
            </w:r>
            <w:r w:rsidR="007D2C86">
              <w:rPr>
                <w:rFonts w:ascii="Calibri" w:hAnsi="Calibri" w:cs="Calibri"/>
                <w:color w:val="000000"/>
              </w:rPr>
              <w:t xml:space="preserve"> (NAACLS)</w:t>
            </w:r>
          </w:p>
        </w:tc>
      </w:tr>
      <w:tr w:rsidR="009A3D84" w14:paraId="5AE89C48"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C19D9" w14:textId="77777777" w:rsidR="009A3D84" w:rsidRDefault="009A3D84" w:rsidP="00837E7B">
            <w:pPr>
              <w:tabs>
                <w:tab w:val="left" w:pos="0"/>
              </w:tabs>
              <w:rPr>
                <w:rFonts w:ascii="Calibri" w:hAnsi="Calibri" w:cs="Calibri"/>
                <w:color w:val="000000"/>
              </w:rPr>
            </w:pPr>
            <w:r>
              <w:rPr>
                <w:rFonts w:ascii="Calibri" w:hAnsi="Calibri" w:cs="Calibri"/>
                <w:color w:val="000000"/>
              </w:rPr>
              <w:lastRenderedPageBreak/>
              <w:t>B.S. in Professional Golf Management - Professional Golf Association of America</w:t>
            </w:r>
            <w:r w:rsidR="007D2C86">
              <w:rPr>
                <w:rFonts w:ascii="Calibri" w:hAnsi="Calibri" w:cs="Calibri"/>
                <w:color w:val="000000"/>
              </w:rPr>
              <w:t xml:space="preserve"> (PGA)</w:t>
            </w:r>
          </w:p>
        </w:tc>
      </w:tr>
      <w:tr w:rsidR="009A3D84" w14:paraId="76286B87"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05923" w14:textId="77777777" w:rsidR="009A3D84" w:rsidRDefault="009A3D84" w:rsidP="00837E7B">
            <w:pPr>
              <w:tabs>
                <w:tab w:val="left" w:pos="0"/>
              </w:tabs>
              <w:rPr>
                <w:rFonts w:ascii="Calibri" w:hAnsi="Calibri" w:cs="Calibri"/>
                <w:color w:val="000000"/>
              </w:rPr>
            </w:pPr>
            <w:r>
              <w:rPr>
                <w:rFonts w:ascii="Calibri" w:hAnsi="Calibri" w:cs="Calibri"/>
                <w:color w:val="000000"/>
              </w:rPr>
              <w:t>B.S. in Athletic Training - Commission on Accreditation of Athletic Training Education (CAATE)</w:t>
            </w:r>
          </w:p>
        </w:tc>
      </w:tr>
      <w:tr w:rsidR="009A3D84" w14:paraId="55F93C64"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215C1" w14:textId="77777777" w:rsidR="009A3D84" w:rsidRDefault="009A3D84" w:rsidP="00837E7B">
            <w:pPr>
              <w:tabs>
                <w:tab w:val="left" w:pos="0"/>
              </w:tabs>
              <w:rPr>
                <w:rFonts w:ascii="Calibri" w:hAnsi="Calibri" w:cs="Calibri"/>
                <w:color w:val="000000"/>
              </w:rPr>
            </w:pPr>
            <w:r>
              <w:rPr>
                <w:rFonts w:ascii="Calibri" w:hAnsi="Calibri" w:cs="Calibri"/>
                <w:color w:val="000000"/>
              </w:rPr>
              <w:t>B.S. in Resort and Hospitality Management – Accreditation Commission for Programs in Hospitality Administration (ACPHA)</w:t>
            </w:r>
          </w:p>
        </w:tc>
      </w:tr>
      <w:tr w:rsidR="009A3D84" w14:paraId="5F79948E" w14:textId="77777777" w:rsidTr="003111DE">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EB9C5" w14:textId="77777777" w:rsidR="009A3D84" w:rsidRDefault="009A3D84" w:rsidP="00837E7B">
            <w:pPr>
              <w:tabs>
                <w:tab w:val="left" w:pos="0"/>
              </w:tabs>
              <w:rPr>
                <w:rFonts w:ascii="Calibri" w:hAnsi="Calibri" w:cs="Calibri"/>
                <w:color w:val="000000"/>
              </w:rPr>
            </w:pPr>
            <w:r>
              <w:rPr>
                <w:rFonts w:ascii="Calibri" w:hAnsi="Calibri" w:cs="Calibri"/>
                <w:color w:val="000000"/>
              </w:rPr>
              <w:t>Bower School of Music and the Arts - National Association of Schools of Music (NASM)</w:t>
            </w:r>
          </w:p>
        </w:tc>
      </w:tr>
      <w:tr w:rsidR="009A3D84" w14:paraId="2CFFAE50" w14:textId="77777777" w:rsidTr="007D2C86">
        <w:trPr>
          <w:trHeight w:val="300"/>
        </w:trPr>
        <w:tc>
          <w:tcPr>
            <w:tcW w:w="9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4EB32" w14:textId="5923C1F4" w:rsidR="009A3D84" w:rsidRDefault="009A3D84" w:rsidP="00837E7B">
            <w:pPr>
              <w:tabs>
                <w:tab w:val="left" w:pos="0"/>
              </w:tabs>
              <w:rPr>
                <w:rFonts w:ascii="Calibri" w:hAnsi="Calibri" w:cs="Calibri"/>
                <w:color w:val="000000"/>
              </w:rPr>
            </w:pPr>
            <w:r>
              <w:rPr>
                <w:rFonts w:ascii="Calibri" w:hAnsi="Calibri" w:cs="Calibri"/>
                <w:color w:val="000000"/>
              </w:rPr>
              <w:t>B.S. Bioengineering, B.S. Civil Engineering, and B.S. Environmental</w:t>
            </w:r>
            <w:r w:rsidR="000B6E6F">
              <w:rPr>
                <w:rFonts w:ascii="Calibri" w:hAnsi="Calibri" w:cs="Calibri"/>
                <w:color w:val="000000"/>
              </w:rPr>
              <w:t xml:space="preserve"> Engineering</w:t>
            </w:r>
            <w:r>
              <w:rPr>
                <w:rFonts w:ascii="Calibri" w:hAnsi="Calibri" w:cs="Calibri"/>
                <w:color w:val="000000"/>
              </w:rPr>
              <w:t xml:space="preserve"> </w:t>
            </w:r>
            <w:r w:rsidR="007D2C86">
              <w:rPr>
                <w:rFonts w:ascii="Calibri" w:hAnsi="Calibri" w:cs="Calibri"/>
                <w:color w:val="000000"/>
              </w:rPr>
              <w:t>-</w:t>
            </w:r>
            <w:r>
              <w:rPr>
                <w:rFonts w:ascii="Calibri" w:hAnsi="Calibri" w:cs="Calibri"/>
                <w:color w:val="000000"/>
              </w:rPr>
              <w:t>the Engineering Accreditation Commission of ABET</w:t>
            </w:r>
          </w:p>
        </w:tc>
      </w:tr>
    </w:tbl>
    <w:p w14:paraId="41C9E462" w14:textId="1B9F7B07" w:rsidR="001C6E7C" w:rsidRDefault="001A5152" w:rsidP="00837E7B">
      <w:pPr>
        <w:tabs>
          <w:tab w:val="left" w:pos="0"/>
        </w:tabs>
        <w:rPr>
          <w:sz w:val="24"/>
          <w:szCs w:val="24"/>
        </w:rPr>
      </w:pPr>
      <w:r>
        <w:rPr>
          <w:sz w:val="24"/>
          <w:szCs w:val="24"/>
        </w:rPr>
        <w:t>Source: Office of the Provost</w:t>
      </w:r>
    </w:p>
    <w:p w14:paraId="61633F19" w14:textId="20B64101" w:rsidR="005349BD" w:rsidRDefault="00C5786A" w:rsidP="00837E7B">
      <w:pPr>
        <w:tabs>
          <w:tab w:val="left" w:pos="0"/>
        </w:tabs>
        <w:rPr>
          <w:sz w:val="24"/>
          <w:szCs w:val="24"/>
        </w:rPr>
      </w:pPr>
      <w:r w:rsidRPr="00A9248F">
        <w:rPr>
          <w:sz w:val="24"/>
          <w:szCs w:val="24"/>
        </w:rPr>
        <w:t xml:space="preserve">These programs are particularly responsive to student and community needs as reflected in state employment data following graduation and in annual enrollment increases. FGCU graduates at both </w:t>
      </w:r>
      <w:r w:rsidR="007D2C86">
        <w:rPr>
          <w:sz w:val="24"/>
          <w:szCs w:val="24"/>
        </w:rPr>
        <w:t xml:space="preserve">the </w:t>
      </w:r>
      <w:r w:rsidRPr="00A9248F">
        <w:rPr>
          <w:sz w:val="24"/>
          <w:szCs w:val="24"/>
        </w:rPr>
        <w:t>baccalaureate and master’s levels typically are near the top of the S</w:t>
      </w:r>
      <w:r w:rsidR="0043695D">
        <w:rPr>
          <w:sz w:val="24"/>
          <w:szCs w:val="24"/>
        </w:rPr>
        <w:t xml:space="preserve">tate </w:t>
      </w:r>
      <w:r w:rsidRPr="00A9248F">
        <w:rPr>
          <w:sz w:val="24"/>
          <w:szCs w:val="24"/>
        </w:rPr>
        <w:t>U</w:t>
      </w:r>
      <w:r w:rsidR="0043695D">
        <w:rPr>
          <w:sz w:val="24"/>
          <w:szCs w:val="24"/>
        </w:rPr>
        <w:t xml:space="preserve">niversity </w:t>
      </w:r>
      <w:r w:rsidRPr="00A9248F">
        <w:rPr>
          <w:sz w:val="24"/>
          <w:szCs w:val="24"/>
        </w:rPr>
        <w:t>S</w:t>
      </w:r>
      <w:r w:rsidR="0043695D">
        <w:rPr>
          <w:sz w:val="24"/>
          <w:szCs w:val="24"/>
        </w:rPr>
        <w:t>ystem</w:t>
      </w:r>
      <w:r w:rsidRPr="00A9248F">
        <w:rPr>
          <w:sz w:val="24"/>
          <w:szCs w:val="24"/>
        </w:rPr>
        <w:t xml:space="preserve"> in terms of employment rates and salaries. </w:t>
      </w:r>
    </w:p>
    <w:tbl>
      <w:tblPr>
        <w:tblStyle w:val="TableGrid"/>
        <w:tblW w:w="9445" w:type="dxa"/>
        <w:tblLook w:val="04A0" w:firstRow="1" w:lastRow="0" w:firstColumn="1" w:lastColumn="0" w:noHBand="0" w:noVBand="1"/>
      </w:tblPr>
      <w:tblGrid>
        <w:gridCol w:w="1558"/>
        <w:gridCol w:w="1767"/>
        <w:gridCol w:w="2790"/>
        <w:gridCol w:w="1530"/>
        <w:gridCol w:w="1800"/>
      </w:tblGrid>
      <w:tr w:rsidR="00F93B06" w14:paraId="25D4CBC9" w14:textId="77777777" w:rsidTr="0004017B">
        <w:tc>
          <w:tcPr>
            <w:tcW w:w="9445" w:type="dxa"/>
            <w:gridSpan w:val="5"/>
            <w:tcBorders>
              <w:top w:val="nil"/>
              <w:left w:val="nil"/>
              <w:bottom w:val="nil"/>
              <w:right w:val="nil"/>
            </w:tcBorders>
          </w:tcPr>
          <w:p w14:paraId="377886B6" w14:textId="77777777" w:rsidR="00F93B06" w:rsidRPr="0002225B" w:rsidRDefault="00F93B06" w:rsidP="00837E7B">
            <w:pPr>
              <w:tabs>
                <w:tab w:val="left" w:pos="0"/>
              </w:tabs>
              <w:rPr>
                <w:b/>
              </w:rPr>
            </w:pPr>
            <w:r w:rsidRPr="0002225B">
              <w:rPr>
                <w:b/>
              </w:rPr>
              <w:t>Workforce Development</w:t>
            </w:r>
          </w:p>
        </w:tc>
      </w:tr>
      <w:tr w:rsidR="00F93B06" w14:paraId="288EF889" w14:textId="77777777" w:rsidTr="0004017B">
        <w:tc>
          <w:tcPr>
            <w:tcW w:w="3325" w:type="dxa"/>
            <w:gridSpan w:val="2"/>
            <w:tcBorders>
              <w:top w:val="nil"/>
              <w:left w:val="nil"/>
              <w:bottom w:val="single" w:sz="4" w:space="0" w:color="auto"/>
              <w:right w:val="nil"/>
            </w:tcBorders>
          </w:tcPr>
          <w:p w14:paraId="6F9AA56C" w14:textId="77777777" w:rsidR="00F93B06" w:rsidRDefault="00F93B06" w:rsidP="00837E7B">
            <w:pPr>
              <w:tabs>
                <w:tab w:val="left" w:pos="0"/>
              </w:tabs>
            </w:pPr>
            <w:r>
              <w:t>Employment and / or Continuing Education in Florida Following Graduation</w:t>
            </w:r>
            <w:r>
              <w:br/>
              <w:t>Bachelor Degrees</w:t>
            </w:r>
          </w:p>
        </w:tc>
        <w:tc>
          <w:tcPr>
            <w:tcW w:w="2790" w:type="dxa"/>
            <w:tcBorders>
              <w:top w:val="nil"/>
              <w:left w:val="nil"/>
              <w:bottom w:val="nil"/>
              <w:right w:val="nil"/>
            </w:tcBorders>
          </w:tcPr>
          <w:p w14:paraId="1AC92469" w14:textId="77777777" w:rsidR="00F93B06" w:rsidRDefault="00F93B06" w:rsidP="00837E7B">
            <w:pPr>
              <w:tabs>
                <w:tab w:val="left" w:pos="0"/>
              </w:tabs>
            </w:pPr>
          </w:p>
        </w:tc>
        <w:tc>
          <w:tcPr>
            <w:tcW w:w="3330" w:type="dxa"/>
            <w:gridSpan w:val="2"/>
            <w:tcBorders>
              <w:top w:val="nil"/>
              <w:left w:val="nil"/>
              <w:bottom w:val="single" w:sz="4" w:space="0" w:color="auto"/>
              <w:right w:val="nil"/>
            </w:tcBorders>
          </w:tcPr>
          <w:p w14:paraId="31869382" w14:textId="77777777" w:rsidR="00F93B06" w:rsidRDefault="00F93B06" w:rsidP="00837E7B">
            <w:pPr>
              <w:tabs>
                <w:tab w:val="left" w:pos="0"/>
              </w:tabs>
            </w:pPr>
            <w:r>
              <w:t>Employment and / or Continuing Education in Florida Following Graduation</w:t>
            </w:r>
            <w:r>
              <w:br/>
              <w:t>Master Degrees</w:t>
            </w:r>
          </w:p>
          <w:p w14:paraId="12D5A105" w14:textId="77777777" w:rsidR="005349BD" w:rsidRDefault="005349BD" w:rsidP="00837E7B">
            <w:pPr>
              <w:tabs>
                <w:tab w:val="left" w:pos="0"/>
              </w:tabs>
            </w:pPr>
          </w:p>
        </w:tc>
      </w:tr>
      <w:tr w:rsidR="00F93B06" w14:paraId="42E7008F" w14:textId="77777777" w:rsidTr="0004017B">
        <w:tc>
          <w:tcPr>
            <w:tcW w:w="1558" w:type="dxa"/>
            <w:tcBorders>
              <w:top w:val="single" w:sz="4" w:space="0" w:color="auto"/>
            </w:tcBorders>
            <w:shd w:val="clear" w:color="auto" w:fill="C2D69B" w:themeFill="accent3" w:themeFillTint="99"/>
          </w:tcPr>
          <w:p w14:paraId="0FE170B2" w14:textId="77777777" w:rsidR="00F93B06" w:rsidRDefault="00F93B06" w:rsidP="00837E7B">
            <w:pPr>
              <w:tabs>
                <w:tab w:val="left" w:pos="0"/>
              </w:tabs>
            </w:pPr>
            <w:r>
              <w:t>Year</w:t>
            </w:r>
          </w:p>
        </w:tc>
        <w:tc>
          <w:tcPr>
            <w:tcW w:w="1767" w:type="dxa"/>
            <w:tcBorders>
              <w:top w:val="single" w:sz="4" w:space="0" w:color="auto"/>
              <w:right w:val="single" w:sz="4" w:space="0" w:color="auto"/>
            </w:tcBorders>
            <w:shd w:val="clear" w:color="auto" w:fill="C2D69B" w:themeFill="accent3" w:themeFillTint="99"/>
          </w:tcPr>
          <w:p w14:paraId="56AD16BC" w14:textId="77777777" w:rsidR="00F93B06" w:rsidRDefault="00F93B06" w:rsidP="00837E7B">
            <w:pPr>
              <w:tabs>
                <w:tab w:val="left" w:pos="0"/>
              </w:tabs>
            </w:pPr>
            <w:r>
              <w:t>FGCU’s SUS Rank</w:t>
            </w:r>
          </w:p>
        </w:tc>
        <w:tc>
          <w:tcPr>
            <w:tcW w:w="2790" w:type="dxa"/>
            <w:vMerge w:val="restart"/>
            <w:tcBorders>
              <w:top w:val="nil"/>
              <w:left w:val="single" w:sz="4" w:space="0" w:color="auto"/>
              <w:bottom w:val="nil"/>
              <w:right w:val="single" w:sz="4" w:space="0" w:color="auto"/>
            </w:tcBorders>
          </w:tcPr>
          <w:p w14:paraId="494DFB5E" w14:textId="77777777" w:rsidR="00F93B06" w:rsidRDefault="00F93B06" w:rsidP="00837E7B">
            <w:pPr>
              <w:tabs>
                <w:tab w:val="left" w:pos="0"/>
              </w:tabs>
            </w:pPr>
          </w:p>
        </w:tc>
        <w:tc>
          <w:tcPr>
            <w:tcW w:w="1530" w:type="dxa"/>
            <w:tcBorders>
              <w:top w:val="single" w:sz="4" w:space="0" w:color="auto"/>
              <w:left w:val="single" w:sz="4" w:space="0" w:color="auto"/>
            </w:tcBorders>
            <w:shd w:val="clear" w:color="auto" w:fill="95B3D7" w:themeFill="accent1" w:themeFillTint="99"/>
          </w:tcPr>
          <w:p w14:paraId="4FB13384" w14:textId="77777777" w:rsidR="00F93B06" w:rsidRDefault="00F93B06" w:rsidP="00837E7B">
            <w:pPr>
              <w:tabs>
                <w:tab w:val="left" w:pos="0"/>
              </w:tabs>
            </w:pPr>
            <w:r>
              <w:t>Year</w:t>
            </w:r>
          </w:p>
        </w:tc>
        <w:tc>
          <w:tcPr>
            <w:tcW w:w="1800" w:type="dxa"/>
            <w:tcBorders>
              <w:top w:val="single" w:sz="4" w:space="0" w:color="auto"/>
            </w:tcBorders>
            <w:shd w:val="clear" w:color="auto" w:fill="95B3D7" w:themeFill="accent1" w:themeFillTint="99"/>
          </w:tcPr>
          <w:p w14:paraId="5C123E25" w14:textId="77777777" w:rsidR="00F93B06" w:rsidRDefault="00F93B06" w:rsidP="00837E7B">
            <w:pPr>
              <w:tabs>
                <w:tab w:val="left" w:pos="0"/>
              </w:tabs>
            </w:pPr>
            <w:r>
              <w:t>FGCU’s SUS Rank</w:t>
            </w:r>
          </w:p>
        </w:tc>
      </w:tr>
      <w:tr w:rsidR="00F93B06" w14:paraId="7AF7B99A" w14:textId="77777777" w:rsidTr="0004017B">
        <w:tc>
          <w:tcPr>
            <w:tcW w:w="1558" w:type="dxa"/>
          </w:tcPr>
          <w:p w14:paraId="330D561A" w14:textId="77777777" w:rsidR="00F93B06" w:rsidRDefault="00F93B06" w:rsidP="00837E7B">
            <w:pPr>
              <w:tabs>
                <w:tab w:val="left" w:pos="0"/>
              </w:tabs>
            </w:pPr>
            <w:r>
              <w:t>2005-2006</w:t>
            </w:r>
          </w:p>
        </w:tc>
        <w:tc>
          <w:tcPr>
            <w:tcW w:w="1767" w:type="dxa"/>
            <w:tcBorders>
              <w:right w:val="single" w:sz="4" w:space="0" w:color="auto"/>
            </w:tcBorders>
          </w:tcPr>
          <w:p w14:paraId="21ACE95B" w14:textId="77777777" w:rsidR="00F93B06" w:rsidRDefault="00F93B06" w:rsidP="00837E7B">
            <w:pPr>
              <w:tabs>
                <w:tab w:val="left" w:pos="0"/>
              </w:tabs>
            </w:pPr>
            <w:r>
              <w:t>1</w:t>
            </w:r>
          </w:p>
        </w:tc>
        <w:tc>
          <w:tcPr>
            <w:tcW w:w="2790" w:type="dxa"/>
            <w:vMerge/>
            <w:tcBorders>
              <w:top w:val="nil"/>
              <w:left w:val="single" w:sz="4" w:space="0" w:color="auto"/>
              <w:bottom w:val="nil"/>
              <w:right w:val="single" w:sz="4" w:space="0" w:color="auto"/>
            </w:tcBorders>
          </w:tcPr>
          <w:p w14:paraId="01810D99" w14:textId="77777777" w:rsidR="00F93B06" w:rsidRDefault="00F93B06" w:rsidP="00837E7B">
            <w:pPr>
              <w:tabs>
                <w:tab w:val="left" w:pos="0"/>
              </w:tabs>
            </w:pPr>
          </w:p>
        </w:tc>
        <w:tc>
          <w:tcPr>
            <w:tcW w:w="1530" w:type="dxa"/>
            <w:tcBorders>
              <w:left w:val="single" w:sz="4" w:space="0" w:color="auto"/>
            </w:tcBorders>
          </w:tcPr>
          <w:p w14:paraId="4EF34946" w14:textId="77777777" w:rsidR="00F93B06" w:rsidRDefault="00F93B06" w:rsidP="00837E7B">
            <w:pPr>
              <w:tabs>
                <w:tab w:val="left" w:pos="0"/>
              </w:tabs>
            </w:pPr>
            <w:r>
              <w:t>2005-2006</w:t>
            </w:r>
          </w:p>
        </w:tc>
        <w:tc>
          <w:tcPr>
            <w:tcW w:w="1800" w:type="dxa"/>
          </w:tcPr>
          <w:p w14:paraId="664EE017" w14:textId="77777777" w:rsidR="00F93B06" w:rsidRDefault="00F93B06" w:rsidP="00837E7B">
            <w:pPr>
              <w:tabs>
                <w:tab w:val="left" w:pos="0"/>
              </w:tabs>
            </w:pPr>
            <w:r>
              <w:t>1</w:t>
            </w:r>
          </w:p>
        </w:tc>
      </w:tr>
      <w:tr w:rsidR="00F93B06" w14:paraId="4E08AC25" w14:textId="77777777" w:rsidTr="0004017B">
        <w:tc>
          <w:tcPr>
            <w:tcW w:w="1558" w:type="dxa"/>
          </w:tcPr>
          <w:p w14:paraId="0C9854B1" w14:textId="77777777" w:rsidR="00F93B06" w:rsidRDefault="00F93B06" w:rsidP="00837E7B">
            <w:pPr>
              <w:tabs>
                <w:tab w:val="left" w:pos="0"/>
              </w:tabs>
            </w:pPr>
            <w:r>
              <w:t>2006-2007</w:t>
            </w:r>
          </w:p>
        </w:tc>
        <w:tc>
          <w:tcPr>
            <w:tcW w:w="1767" w:type="dxa"/>
            <w:tcBorders>
              <w:right w:val="single" w:sz="4" w:space="0" w:color="auto"/>
            </w:tcBorders>
          </w:tcPr>
          <w:p w14:paraId="4AF5B4A3" w14:textId="77777777" w:rsidR="00F93B06" w:rsidRDefault="00F93B06" w:rsidP="00837E7B">
            <w:pPr>
              <w:tabs>
                <w:tab w:val="left" w:pos="0"/>
              </w:tabs>
            </w:pPr>
            <w:r>
              <w:t>1</w:t>
            </w:r>
          </w:p>
        </w:tc>
        <w:tc>
          <w:tcPr>
            <w:tcW w:w="2790" w:type="dxa"/>
            <w:vMerge/>
            <w:tcBorders>
              <w:top w:val="nil"/>
              <w:left w:val="single" w:sz="4" w:space="0" w:color="auto"/>
              <w:bottom w:val="nil"/>
              <w:right w:val="single" w:sz="4" w:space="0" w:color="auto"/>
            </w:tcBorders>
          </w:tcPr>
          <w:p w14:paraId="4F1F9CBE" w14:textId="77777777" w:rsidR="00F93B06" w:rsidRDefault="00F93B06" w:rsidP="00837E7B">
            <w:pPr>
              <w:tabs>
                <w:tab w:val="left" w:pos="0"/>
              </w:tabs>
            </w:pPr>
          </w:p>
        </w:tc>
        <w:tc>
          <w:tcPr>
            <w:tcW w:w="1530" w:type="dxa"/>
            <w:tcBorders>
              <w:left w:val="single" w:sz="4" w:space="0" w:color="auto"/>
            </w:tcBorders>
          </w:tcPr>
          <w:p w14:paraId="0ACD0276" w14:textId="77777777" w:rsidR="00F93B06" w:rsidRDefault="00F93B06" w:rsidP="00837E7B">
            <w:pPr>
              <w:tabs>
                <w:tab w:val="left" w:pos="0"/>
              </w:tabs>
            </w:pPr>
            <w:r>
              <w:t>2006-2007</w:t>
            </w:r>
          </w:p>
        </w:tc>
        <w:tc>
          <w:tcPr>
            <w:tcW w:w="1800" w:type="dxa"/>
          </w:tcPr>
          <w:p w14:paraId="75E42FBF" w14:textId="77777777" w:rsidR="00F93B06" w:rsidRDefault="00F93B06" w:rsidP="00837E7B">
            <w:pPr>
              <w:tabs>
                <w:tab w:val="left" w:pos="0"/>
              </w:tabs>
            </w:pPr>
            <w:r>
              <w:t>1</w:t>
            </w:r>
          </w:p>
        </w:tc>
      </w:tr>
      <w:tr w:rsidR="00F93B06" w14:paraId="67A7DE9D" w14:textId="77777777" w:rsidTr="0004017B">
        <w:tc>
          <w:tcPr>
            <w:tcW w:w="1558" w:type="dxa"/>
          </w:tcPr>
          <w:p w14:paraId="3DC0E7BA" w14:textId="77777777" w:rsidR="00F93B06" w:rsidRDefault="00F93B06" w:rsidP="00837E7B">
            <w:pPr>
              <w:tabs>
                <w:tab w:val="left" w:pos="0"/>
              </w:tabs>
            </w:pPr>
            <w:r>
              <w:t>2007-2008</w:t>
            </w:r>
          </w:p>
        </w:tc>
        <w:tc>
          <w:tcPr>
            <w:tcW w:w="1767" w:type="dxa"/>
            <w:tcBorders>
              <w:right w:val="single" w:sz="4" w:space="0" w:color="auto"/>
            </w:tcBorders>
          </w:tcPr>
          <w:p w14:paraId="2C868DB5" w14:textId="77777777" w:rsidR="00F93B06" w:rsidRDefault="00F93B06" w:rsidP="00837E7B">
            <w:pPr>
              <w:tabs>
                <w:tab w:val="left" w:pos="0"/>
              </w:tabs>
            </w:pPr>
            <w:r>
              <w:t>1</w:t>
            </w:r>
          </w:p>
        </w:tc>
        <w:tc>
          <w:tcPr>
            <w:tcW w:w="2790" w:type="dxa"/>
            <w:vMerge/>
            <w:tcBorders>
              <w:top w:val="nil"/>
              <w:left w:val="single" w:sz="4" w:space="0" w:color="auto"/>
              <w:bottom w:val="nil"/>
              <w:right w:val="single" w:sz="4" w:space="0" w:color="auto"/>
            </w:tcBorders>
          </w:tcPr>
          <w:p w14:paraId="40F72901" w14:textId="77777777" w:rsidR="00F93B06" w:rsidRDefault="00F93B06" w:rsidP="00837E7B">
            <w:pPr>
              <w:tabs>
                <w:tab w:val="left" w:pos="0"/>
              </w:tabs>
            </w:pPr>
          </w:p>
        </w:tc>
        <w:tc>
          <w:tcPr>
            <w:tcW w:w="1530" w:type="dxa"/>
            <w:tcBorders>
              <w:left w:val="single" w:sz="4" w:space="0" w:color="auto"/>
            </w:tcBorders>
          </w:tcPr>
          <w:p w14:paraId="64ECD371" w14:textId="77777777" w:rsidR="00F93B06" w:rsidRDefault="00F93B06" w:rsidP="00837E7B">
            <w:pPr>
              <w:tabs>
                <w:tab w:val="left" w:pos="0"/>
              </w:tabs>
            </w:pPr>
            <w:r>
              <w:t>2007-2008</w:t>
            </w:r>
          </w:p>
        </w:tc>
        <w:tc>
          <w:tcPr>
            <w:tcW w:w="1800" w:type="dxa"/>
          </w:tcPr>
          <w:p w14:paraId="6C788C36" w14:textId="77777777" w:rsidR="00F93B06" w:rsidRDefault="00F93B06" w:rsidP="00837E7B">
            <w:pPr>
              <w:tabs>
                <w:tab w:val="left" w:pos="0"/>
              </w:tabs>
            </w:pPr>
            <w:r>
              <w:t>1</w:t>
            </w:r>
          </w:p>
        </w:tc>
      </w:tr>
      <w:tr w:rsidR="00F93B06" w14:paraId="357E0C0B" w14:textId="77777777" w:rsidTr="0004017B">
        <w:tc>
          <w:tcPr>
            <w:tcW w:w="1558" w:type="dxa"/>
          </w:tcPr>
          <w:p w14:paraId="2E141590" w14:textId="77777777" w:rsidR="00F93B06" w:rsidRDefault="00F93B06" w:rsidP="00837E7B">
            <w:pPr>
              <w:tabs>
                <w:tab w:val="left" w:pos="0"/>
              </w:tabs>
            </w:pPr>
            <w:r>
              <w:t>2008-2009</w:t>
            </w:r>
          </w:p>
        </w:tc>
        <w:tc>
          <w:tcPr>
            <w:tcW w:w="1767" w:type="dxa"/>
            <w:tcBorders>
              <w:right w:val="single" w:sz="4" w:space="0" w:color="auto"/>
            </w:tcBorders>
          </w:tcPr>
          <w:p w14:paraId="538BF7B3" w14:textId="77777777" w:rsidR="00F93B06" w:rsidRDefault="00F93B06" w:rsidP="00837E7B">
            <w:pPr>
              <w:tabs>
                <w:tab w:val="left" w:pos="0"/>
              </w:tabs>
            </w:pPr>
            <w:r>
              <w:t>1</w:t>
            </w:r>
          </w:p>
        </w:tc>
        <w:tc>
          <w:tcPr>
            <w:tcW w:w="2790" w:type="dxa"/>
            <w:vMerge/>
            <w:tcBorders>
              <w:top w:val="nil"/>
              <w:left w:val="single" w:sz="4" w:space="0" w:color="auto"/>
              <w:bottom w:val="nil"/>
              <w:right w:val="single" w:sz="4" w:space="0" w:color="auto"/>
            </w:tcBorders>
          </w:tcPr>
          <w:p w14:paraId="3BAA6552" w14:textId="77777777" w:rsidR="00F93B06" w:rsidRDefault="00F93B06" w:rsidP="00837E7B">
            <w:pPr>
              <w:tabs>
                <w:tab w:val="left" w:pos="0"/>
              </w:tabs>
            </w:pPr>
          </w:p>
        </w:tc>
        <w:tc>
          <w:tcPr>
            <w:tcW w:w="1530" w:type="dxa"/>
            <w:tcBorders>
              <w:left w:val="single" w:sz="4" w:space="0" w:color="auto"/>
            </w:tcBorders>
          </w:tcPr>
          <w:p w14:paraId="12FDC5B8" w14:textId="77777777" w:rsidR="00F93B06" w:rsidRDefault="00F93B06" w:rsidP="00837E7B">
            <w:pPr>
              <w:tabs>
                <w:tab w:val="left" w:pos="0"/>
              </w:tabs>
            </w:pPr>
            <w:r>
              <w:t>2008-2009</w:t>
            </w:r>
          </w:p>
        </w:tc>
        <w:tc>
          <w:tcPr>
            <w:tcW w:w="1800" w:type="dxa"/>
          </w:tcPr>
          <w:p w14:paraId="2C96EFE6" w14:textId="77777777" w:rsidR="00F93B06" w:rsidRDefault="00F93B06" w:rsidP="00837E7B">
            <w:pPr>
              <w:tabs>
                <w:tab w:val="left" w:pos="0"/>
              </w:tabs>
            </w:pPr>
            <w:r>
              <w:t>2</w:t>
            </w:r>
          </w:p>
        </w:tc>
      </w:tr>
      <w:tr w:rsidR="00F93B06" w14:paraId="05DD73A8" w14:textId="77777777" w:rsidTr="0004017B">
        <w:tc>
          <w:tcPr>
            <w:tcW w:w="1558" w:type="dxa"/>
          </w:tcPr>
          <w:p w14:paraId="3FA0D265" w14:textId="77777777" w:rsidR="00F93B06" w:rsidRDefault="00F93B06" w:rsidP="00837E7B">
            <w:pPr>
              <w:tabs>
                <w:tab w:val="left" w:pos="0"/>
              </w:tabs>
            </w:pPr>
            <w:r>
              <w:t>2009-2010</w:t>
            </w:r>
          </w:p>
        </w:tc>
        <w:tc>
          <w:tcPr>
            <w:tcW w:w="1767" w:type="dxa"/>
            <w:tcBorders>
              <w:right w:val="single" w:sz="4" w:space="0" w:color="auto"/>
            </w:tcBorders>
          </w:tcPr>
          <w:p w14:paraId="17B442B6" w14:textId="77777777" w:rsidR="00F93B06" w:rsidRDefault="00F93B06" w:rsidP="00837E7B">
            <w:pPr>
              <w:tabs>
                <w:tab w:val="left" w:pos="0"/>
              </w:tabs>
            </w:pPr>
            <w:r>
              <w:t>1</w:t>
            </w:r>
          </w:p>
        </w:tc>
        <w:tc>
          <w:tcPr>
            <w:tcW w:w="2790" w:type="dxa"/>
            <w:vMerge/>
            <w:tcBorders>
              <w:top w:val="nil"/>
              <w:left w:val="single" w:sz="4" w:space="0" w:color="auto"/>
              <w:bottom w:val="nil"/>
              <w:right w:val="single" w:sz="4" w:space="0" w:color="auto"/>
            </w:tcBorders>
          </w:tcPr>
          <w:p w14:paraId="797007AC" w14:textId="77777777" w:rsidR="00F93B06" w:rsidRDefault="00F93B06" w:rsidP="00837E7B">
            <w:pPr>
              <w:tabs>
                <w:tab w:val="left" w:pos="0"/>
              </w:tabs>
            </w:pPr>
          </w:p>
        </w:tc>
        <w:tc>
          <w:tcPr>
            <w:tcW w:w="1530" w:type="dxa"/>
            <w:tcBorders>
              <w:left w:val="single" w:sz="4" w:space="0" w:color="auto"/>
            </w:tcBorders>
          </w:tcPr>
          <w:p w14:paraId="59E33D3B" w14:textId="77777777" w:rsidR="00F93B06" w:rsidRDefault="00F93B06" w:rsidP="00837E7B">
            <w:pPr>
              <w:tabs>
                <w:tab w:val="left" w:pos="0"/>
              </w:tabs>
            </w:pPr>
            <w:r>
              <w:t>2009-2010</w:t>
            </w:r>
          </w:p>
        </w:tc>
        <w:tc>
          <w:tcPr>
            <w:tcW w:w="1800" w:type="dxa"/>
          </w:tcPr>
          <w:p w14:paraId="7DB0E210" w14:textId="77777777" w:rsidR="00F93B06" w:rsidRDefault="00F93B06" w:rsidP="00837E7B">
            <w:pPr>
              <w:tabs>
                <w:tab w:val="left" w:pos="0"/>
              </w:tabs>
            </w:pPr>
            <w:r>
              <w:t>1</w:t>
            </w:r>
          </w:p>
        </w:tc>
      </w:tr>
      <w:tr w:rsidR="00F93B06" w14:paraId="1341BEBA" w14:textId="77777777" w:rsidTr="0004017B">
        <w:tc>
          <w:tcPr>
            <w:tcW w:w="1558" w:type="dxa"/>
          </w:tcPr>
          <w:p w14:paraId="1BAAA09E" w14:textId="77777777" w:rsidR="00F93B06" w:rsidRDefault="00F93B06" w:rsidP="00837E7B">
            <w:pPr>
              <w:tabs>
                <w:tab w:val="left" w:pos="0"/>
              </w:tabs>
            </w:pPr>
            <w:r>
              <w:t>2010-2011</w:t>
            </w:r>
          </w:p>
        </w:tc>
        <w:tc>
          <w:tcPr>
            <w:tcW w:w="1767" w:type="dxa"/>
            <w:tcBorders>
              <w:right w:val="single" w:sz="4" w:space="0" w:color="auto"/>
            </w:tcBorders>
          </w:tcPr>
          <w:p w14:paraId="7BE083CB" w14:textId="77777777" w:rsidR="00F93B06" w:rsidRDefault="00F93B06" w:rsidP="00837E7B">
            <w:pPr>
              <w:tabs>
                <w:tab w:val="left" w:pos="0"/>
              </w:tabs>
            </w:pPr>
            <w:r>
              <w:t>1</w:t>
            </w:r>
          </w:p>
        </w:tc>
        <w:tc>
          <w:tcPr>
            <w:tcW w:w="2790" w:type="dxa"/>
            <w:vMerge/>
            <w:tcBorders>
              <w:top w:val="nil"/>
              <w:left w:val="single" w:sz="4" w:space="0" w:color="auto"/>
              <w:bottom w:val="nil"/>
              <w:right w:val="single" w:sz="4" w:space="0" w:color="auto"/>
            </w:tcBorders>
          </w:tcPr>
          <w:p w14:paraId="6F2CFE00" w14:textId="77777777" w:rsidR="00F93B06" w:rsidRDefault="00F93B06" w:rsidP="00837E7B">
            <w:pPr>
              <w:tabs>
                <w:tab w:val="left" w:pos="0"/>
              </w:tabs>
            </w:pPr>
          </w:p>
        </w:tc>
        <w:tc>
          <w:tcPr>
            <w:tcW w:w="1530" w:type="dxa"/>
            <w:tcBorders>
              <w:left w:val="single" w:sz="4" w:space="0" w:color="auto"/>
            </w:tcBorders>
          </w:tcPr>
          <w:p w14:paraId="2C193E90" w14:textId="77777777" w:rsidR="00F93B06" w:rsidRDefault="00F93B06" w:rsidP="00837E7B">
            <w:pPr>
              <w:tabs>
                <w:tab w:val="left" w:pos="0"/>
              </w:tabs>
            </w:pPr>
            <w:r>
              <w:t>2010-2011</w:t>
            </w:r>
          </w:p>
        </w:tc>
        <w:tc>
          <w:tcPr>
            <w:tcW w:w="1800" w:type="dxa"/>
          </w:tcPr>
          <w:p w14:paraId="5F81D7D4" w14:textId="77777777" w:rsidR="00F93B06" w:rsidRDefault="00F93B06" w:rsidP="00837E7B">
            <w:pPr>
              <w:tabs>
                <w:tab w:val="left" w:pos="0"/>
              </w:tabs>
            </w:pPr>
            <w:r>
              <w:t>1</w:t>
            </w:r>
          </w:p>
        </w:tc>
      </w:tr>
      <w:tr w:rsidR="00F93B06" w14:paraId="35925290" w14:textId="77777777" w:rsidTr="0004017B">
        <w:tc>
          <w:tcPr>
            <w:tcW w:w="1558" w:type="dxa"/>
          </w:tcPr>
          <w:p w14:paraId="5C3EAFD3" w14:textId="77777777" w:rsidR="00F93B06" w:rsidRDefault="00F93B06" w:rsidP="00837E7B">
            <w:pPr>
              <w:tabs>
                <w:tab w:val="left" w:pos="0"/>
              </w:tabs>
            </w:pPr>
            <w:r>
              <w:t>2011-2012</w:t>
            </w:r>
          </w:p>
        </w:tc>
        <w:tc>
          <w:tcPr>
            <w:tcW w:w="1767" w:type="dxa"/>
            <w:tcBorders>
              <w:right w:val="single" w:sz="4" w:space="0" w:color="auto"/>
            </w:tcBorders>
          </w:tcPr>
          <w:p w14:paraId="6BEC0BB7" w14:textId="77777777" w:rsidR="00F93B06" w:rsidRDefault="00F93B06" w:rsidP="00837E7B">
            <w:pPr>
              <w:tabs>
                <w:tab w:val="left" w:pos="0"/>
              </w:tabs>
            </w:pPr>
            <w:r>
              <w:t>1</w:t>
            </w:r>
          </w:p>
        </w:tc>
        <w:tc>
          <w:tcPr>
            <w:tcW w:w="2790" w:type="dxa"/>
            <w:vMerge/>
            <w:tcBorders>
              <w:top w:val="nil"/>
              <w:left w:val="single" w:sz="4" w:space="0" w:color="auto"/>
              <w:bottom w:val="nil"/>
              <w:right w:val="single" w:sz="4" w:space="0" w:color="auto"/>
            </w:tcBorders>
          </w:tcPr>
          <w:p w14:paraId="598A520E" w14:textId="77777777" w:rsidR="00F93B06" w:rsidRDefault="00F93B06" w:rsidP="00837E7B">
            <w:pPr>
              <w:tabs>
                <w:tab w:val="left" w:pos="0"/>
              </w:tabs>
            </w:pPr>
          </w:p>
        </w:tc>
        <w:tc>
          <w:tcPr>
            <w:tcW w:w="1530" w:type="dxa"/>
            <w:tcBorders>
              <w:left w:val="single" w:sz="4" w:space="0" w:color="auto"/>
            </w:tcBorders>
          </w:tcPr>
          <w:p w14:paraId="2A7AD68D" w14:textId="77777777" w:rsidR="00F93B06" w:rsidRDefault="00F93B06" w:rsidP="00837E7B">
            <w:pPr>
              <w:tabs>
                <w:tab w:val="left" w:pos="0"/>
              </w:tabs>
            </w:pPr>
            <w:r>
              <w:t>2011-2012</w:t>
            </w:r>
          </w:p>
        </w:tc>
        <w:tc>
          <w:tcPr>
            <w:tcW w:w="1800" w:type="dxa"/>
          </w:tcPr>
          <w:p w14:paraId="4585B58A" w14:textId="77777777" w:rsidR="00F93B06" w:rsidRDefault="00F93B06" w:rsidP="00837E7B">
            <w:pPr>
              <w:tabs>
                <w:tab w:val="left" w:pos="0"/>
              </w:tabs>
            </w:pPr>
            <w:r>
              <w:t>1</w:t>
            </w:r>
          </w:p>
        </w:tc>
      </w:tr>
    </w:tbl>
    <w:p w14:paraId="49763993" w14:textId="77777777" w:rsidR="005349BD" w:rsidRDefault="005349BD" w:rsidP="00837E7B">
      <w:pPr>
        <w:tabs>
          <w:tab w:val="left" w:pos="0"/>
        </w:tabs>
        <w:rPr>
          <w:sz w:val="18"/>
          <w:szCs w:val="18"/>
        </w:rPr>
      </w:pPr>
    </w:p>
    <w:p w14:paraId="578B9F62" w14:textId="77777777" w:rsidR="00F93B06" w:rsidRPr="005349BD" w:rsidRDefault="00F93B06" w:rsidP="00837E7B">
      <w:pPr>
        <w:tabs>
          <w:tab w:val="left" w:pos="0"/>
        </w:tabs>
        <w:rPr>
          <w:sz w:val="18"/>
          <w:szCs w:val="18"/>
        </w:rPr>
      </w:pPr>
      <w:r w:rsidRPr="005349BD">
        <w:rPr>
          <w:sz w:val="18"/>
          <w:szCs w:val="18"/>
        </w:rPr>
        <w:t>Source: Florida Education and Training Placement Information Program</w:t>
      </w:r>
    </w:p>
    <w:p w14:paraId="678A062F" w14:textId="0183983B" w:rsidR="001C6E7C" w:rsidRDefault="00D36D11" w:rsidP="00837E7B">
      <w:pPr>
        <w:tabs>
          <w:tab w:val="left" w:pos="0"/>
        </w:tabs>
        <w:rPr>
          <w:i/>
          <w:sz w:val="24"/>
          <w:szCs w:val="24"/>
        </w:rPr>
      </w:pPr>
      <w:r>
        <w:rPr>
          <w:noProof/>
        </w:rPr>
        <w:lastRenderedPageBreak/>
        <mc:AlternateContent>
          <mc:Choice Requires="wps">
            <w:drawing>
              <wp:anchor distT="0" distB="0" distL="114300" distR="114300" simplePos="0" relativeHeight="251672576" behindDoc="0" locked="0" layoutInCell="1" allowOverlap="1" wp14:anchorId="3073C4A2" wp14:editId="569E7F49">
                <wp:simplePos x="0" y="0"/>
                <wp:positionH relativeFrom="margin">
                  <wp:posOffset>167640</wp:posOffset>
                </wp:positionH>
                <wp:positionV relativeFrom="paragraph">
                  <wp:posOffset>1021080</wp:posOffset>
                </wp:positionV>
                <wp:extent cx="4305300" cy="7620"/>
                <wp:effectExtent l="0" t="0" r="19050" b="30480"/>
                <wp:wrapNone/>
                <wp:docPr id="12" name="Straight Connector 4"/>
                <wp:cNvGraphicFramePr/>
                <a:graphic xmlns:a="http://schemas.openxmlformats.org/drawingml/2006/main">
                  <a:graphicData uri="http://schemas.microsoft.com/office/word/2010/wordprocessingShape">
                    <wps:wsp>
                      <wps:cNvCnPr/>
                      <wps:spPr>
                        <a:xfrm>
                          <a:off x="0" y="0"/>
                          <a:ext cx="4305300" cy="76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B1E54"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80.4pt" to="352.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" strokecolor="red" strokeweight="1pt">
                <w10:wrap anchorx="margin"/>
              </v:line>
            </w:pict>
          </mc:Fallback>
        </mc:AlternateContent>
      </w:r>
      <w:r w:rsidR="00383B91">
        <w:rPr>
          <w:i/>
          <w:noProof/>
          <w:sz w:val="24"/>
          <w:szCs w:val="24"/>
        </w:rPr>
        <w:drawing>
          <wp:inline distT="0" distB="0" distL="0" distR="0" wp14:anchorId="15719F50" wp14:editId="75DFDA9D">
            <wp:extent cx="4549045" cy="3253740"/>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333" cy="3262529"/>
                    </a:xfrm>
                    <a:prstGeom prst="rect">
                      <a:avLst/>
                    </a:prstGeom>
                    <a:noFill/>
                  </pic:spPr>
                </pic:pic>
              </a:graphicData>
            </a:graphic>
          </wp:inline>
        </w:drawing>
      </w:r>
    </w:p>
    <w:p w14:paraId="5632C211" w14:textId="1610937C" w:rsidR="000B7CC0" w:rsidRPr="000B7CC0" w:rsidRDefault="000B7CC0" w:rsidP="00837E7B">
      <w:pPr>
        <w:tabs>
          <w:tab w:val="left" w:pos="0"/>
        </w:tabs>
        <w:rPr>
          <w:sz w:val="18"/>
          <w:szCs w:val="18"/>
        </w:rPr>
      </w:pPr>
      <w:r>
        <w:rPr>
          <w:sz w:val="18"/>
          <w:szCs w:val="18"/>
        </w:rPr>
        <w:t xml:space="preserve">Source: </w:t>
      </w:r>
      <w:r w:rsidR="001A5152" w:rsidRPr="001A5152">
        <w:rPr>
          <w:sz w:val="18"/>
          <w:szCs w:val="18"/>
        </w:rPr>
        <w:t>Florida Education and Training Placement Information Program (FETPIP)</w:t>
      </w:r>
    </w:p>
    <w:p w14:paraId="226E4A6B" w14:textId="351C1456" w:rsidR="003A33AB" w:rsidRPr="003473E8" w:rsidRDefault="003A33AB" w:rsidP="00837E7B">
      <w:pPr>
        <w:tabs>
          <w:tab w:val="left" w:pos="0"/>
        </w:tabs>
        <w:rPr>
          <w:i/>
          <w:sz w:val="24"/>
          <w:szCs w:val="24"/>
        </w:rPr>
      </w:pPr>
      <w:r w:rsidRPr="003473E8">
        <w:rPr>
          <w:i/>
          <w:sz w:val="24"/>
          <w:szCs w:val="24"/>
        </w:rPr>
        <w:t xml:space="preserve">Community Engagement </w:t>
      </w:r>
    </w:p>
    <w:p w14:paraId="439F25AC" w14:textId="5A2EA6D0" w:rsidR="004F6615" w:rsidRDefault="00D76117" w:rsidP="00837E7B">
      <w:pPr>
        <w:tabs>
          <w:tab w:val="left" w:pos="0"/>
        </w:tabs>
        <w:rPr>
          <w:sz w:val="24"/>
          <w:szCs w:val="24"/>
        </w:rPr>
      </w:pPr>
      <w:r w:rsidRPr="00492F82">
        <w:rPr>
          <w:sz w:val="24"/>
          <w:szCs w:val="24"/>
        </w:rPr>
        <w:t xml:space="preserve">The </w:t>
      </w:r>
      <w:r w:rsidR="00CB7CBF">
        <w:rPr>
          <w:sz w:val="24"/>
          <w:szCs w:val="24"/>
        </w:rPr>
        <w:t>University</w:t>
      </w:r>
      <w:r w:rsidRPr="00492F82">
        <w:rPr>
          <w:sz w:val="24"/>
          <w:szCs w:val="24"/>
        </w:rPr>
        <w:t xml:space="preserve">’s advancement operation has been </w:t>
      </w:r>
      <w:r w:rsidR="009E334B">
        <w:rPr>
          <w:sz w:val="24"/>
          <w:szCs w:val="24"/>
        </w:rPr>
        <w:t>a primary strength</w:t>
      </w:r>
      <w:r w:rsidRPr="00492F82">
        <w:rPr>
          <w:sz w:val="24"/>
          <w:szCs w:val="24"/>
        </w:rPr>
        <w:t xml:space="preserve"> of the </w:t>
      </w:r>
      <w:r w:rsidR="00CB7CBF">
        <w:rPr>
          <w:sz w:val="24"/>
          <w:szCs w:val="24"/>
        </w:rPr>
        <w:t>University</w:t>
      </w:r>
      <w:r w:rsidR="007F025E">
        <w:rPr>
          <w:sz w:val="24"/>
          <w:szCs w:val="24"/>
        </w:rPr>
        <w:t xml:space="preserve"> during the p</w:t>
      </w:r>
      <w:r w:rsidRPr="00492F82">
        <w:rPr>
          <w:sz w:val="24"/>
          <w:szCs w:val="24"/>
        </w:rPr>
        <w:t xml:space="preserve">ast decade. </w:t>
      </w:r>
      <w:r w:rsidR="009E334B">
        <w:rPr>
          <w:sz w:val="24"/>
          <w:szCs w:val="24"/>
        </w:rPr>
        <w:t>S</w:t>
      </w:r>
      <w:r w:rsidRPr="00492F82">
        <w:rPr>
          <w:sz w:val="24"/>
          <w:szCs w:val="24"/>
        </w:rPr>
        <w:t xml:space="preserve">uccessful engagement with the community </w:t>
      </w:r>
      <w:r w:rsidR="009E334B">
        <w:rPr>
          <w:sz w:val="24"/>
          <w:szCs w:val="24"/>
        </w:rPr>
        <w:t xml:space="preserve">has </w:t>
      </w:r>
      <w:r w:rsidR="000E1CB9">
        <w:rPr>
          <w:sz w:val="24"/>
          <w:szCs w:val="24"/>
        </w:rPr>
        <w:t xml:space="preserve">resulted in multiple public and </w:t>
      </w:r>
      <w:r w:rsidRPr="00492F82">
        <w:rPr>
          <w:sz w:val="24"/>
          <w:szCs w:val="24"/>
        </w:rPr>
        <w:t xml:space="preserve">private partnerships that significantly accelerated the growth and development of the </w:t>
      </w:r>
      <w:r w:rsidR="00CB7CBF">
        <w:rPr>
          <w:sz w:val="24"/>
          <w:szCs w:val="24"/>
        </w:rPr>
        <w:t>University</w:t>
      </w:r>
      <w:r w:rsidRPr="00492F82">
        <w:rPr>
          <w:sz w:val="24"/>
          <w:szCs w:val="24"/>
        </w:rPr>
        <w:t xml:space="preserve"> that simply could not have occurred with public money</w:t>
      </w:r>
      <w:r w:rsidR="000E106F" w:rsidRPr="00492F82">
        <w:rPr>
          <w:sz w:val="24"/>
          <w:szCs w:val="24"/>
        </w:rPr>
        <w:t xml:space="preserve"> alone</w:t>
      </w:r>
      <w:r w:rsidRPr="00492F82">
        <w:rPr>
          <w:sz w:val="24"/>
          <w:szCs w:val="24"/>
        </w:rPr>
        <w:t xml:space="preserve">. </w:t>
      </w:r>
      <w:r w:rsidR="006E6372" w:rsidRPr="00492F82">
        <w:rPr>
          <w:sz w:val="24"/>
          <w:szCs w:val="24"/>
        </w:rPr>
        <w:t xml:space="preserve">As </w:t>
      </w:r>
      <w:r w:rsidR="00C841F7">
        <w:rPr>
          <w:sz w:val="24"/>
          <w:szCs w:val="24"/>
        </w:rPr>
        <w:t>FGCU</w:t>
      </w:r>
      <w:r w:rsidR="007F025E">
        <w:rPr>
          <w:sz w:val="24"/>
          <w:szCs w:val="24"/>
        </w:rPr>
        <w:t xml:space="preserve"> approaches its 20</w:t>
      </w:r>
      <w:r w:rsidR="007F025E" w:rsidRPr="007F025E">
        <w:rPr>
          <w:sz w:val="24"/>
          <w:szCs w:val="24"/>
          <w:vertAlign w:val="superscript"/>
        </w:rPr>
        <w:t>th</w:t>
      </w:r>
      <w:r w:rsidR="007F025E">
        <w:rPr>
          <w:sz w:val="24"/>
          <w:szCs w:val="24"/>
        </w:rPr>
        <w:t xml:space="preserve"> </w:t>
      </w:r>
      <w:r w:rsidR="006E6372" w:rsidRPr="00492F82">
        <w:rPr>
          <w:sz w:val="24"/>
          <w:szCs w:val="24"/>
        </w:rPr>
        <w:t xml:space="preserve">anniversary in 2017, </w:t>
      </w:r>
      <w:r w:rsidR="00C841F7">
        <w:rPr>
          <w:sz w:val="24"/>
          <w:szCs w:val="24"/>
        </w:rPr>
        <w:t>it</w:t>
      </w:r>
      <w:r w:rsidR="006E6372" w:rsidRPr="00492F82">
        <w:rPr>
          <w:sz w:val="24"/>
          <w:szCs w:val="24"/>
        </w:rPr>
        <w:t xml:space="preserve"> has </w:t>
      </w:r>
      <w:r w:rsidR="000E106F" w:rsidRPr="00492F82">
        <w:rPr>
          <w:sz w:val="24"/>
          <w:szCs w:val="24"/>
        </w:rPr>
        <w:t>announced</w:t>
      </w:r>
      <w:r w:rsidR="006E6372" w:rsidRPr="00492F82">
        <w:rPr>
          <w:sz w:val="24"/>
          <w:szCs w:val="24"/>
        </w:rPr>
        <w:t xml:space="preserve"> a $100-million fundraising campaign to ensure its continued growth and development as Southwest Florida’s leading institution of higher education. The campaign’s five strategic fundraising initiatives </w:t>
      </w:r>
      <w:r w:rsidR="00B11168" w:rsidRPr="00492F82">
        <w:rPr>
          <w:sz w:val="24"/>
          <w:szCs w:val="24"/>
        </w:rPr>
        <w:t xml:space="preserve">are </w:t>
      </w:r>
      <w:r w:rsidR="006E6372" w:rsidRPr="00492F82">
        <w:rPr>
          <w:sz w:val="24"/>
          <w:szCs w:val="24"/>
        </w:rPr>
        <w:t>Academic Excellence</w:t>
      </w:r>
      <w:r w:rsidR="000E1CB9">
        <w:rPr>
          <w:sz w:val="24"/>
          <w:szCs w:val="24"/>
        </w:rPr>
        <w:t>,</w:t>
      </w:r>
      <w:r w:rsidR="006E6372" w:rsidRPr="00492F82">
        <w:rPr>
          <w:sz w:val="24"/>
          <w:szCs w:val="24"/>
        </w:rPr>
        <w:t xml:space="preserve"> Scholarships</w:t>
      </w:r>
      <w:r w:rsidR="000E1CB9">
        <w:rPr>
          <w:sz w:val="24"/>
          <w:szCs w:val="24"/>
        </w:rPr>
        <w:t>,</w:t>
      </w:r>
      <w:r w:rsidR="006E6372" w:rsidRPr="00492F82">
        <w:rPr>
          <w:sz w:val="24"/>
          <w:szCs w:val="24"/>
        </w:rPr>
        <w:t xml:space="preserve"> Student Success</w:t>
      </w:r>
      <w:r w:rsidR="000E1CB9">
        <w:rPr>
          <w:sz w:val="24"/>
          <w:szCs w:val="24"/>
        </w:rPr>
        <w:t>,</w:t>
      </w:r>
      <w:r w:rsidR="006E6372" w:rsidRPr="00492F82">
        <w:rPr>
          <w:sz w:val="24"/>
          <w:szCs w:val="24"/>
        </w:rPr>
        <w:t xml:space="preserve"> Athletics</w:t>
      </w:r>
      <w:r w:rsidR="000E1CB9">
        <w:rPr>
          <w:sz w:val="24"/>
          <w:szCs w:val="24"/>
        </w:rPr>
        <w:t>,</w:t>
      </w:r>
      <w:r w:rsidR="00B11168" w:rsidRPr="00492F82">
        <w:rPr>
          <w:sz w:val="24"/>
          <w:szCs w:val="24"/>
        </w:rPr>
        <w:t xml:space="preserve"> and</w:t>
      </w:r>
      <w:r w:rsidR="006E6372" w:rsidRPr="00492F82">
        <w:rPr>
          <w:sz w:val="24"/>
          <w:szCs w:val="24"/>
        </w:rPr>
        <w:t xml:space="preserve"> Community &amp; Regional Impact</w:t>
      </w:r>
      <w:r w:rsidR="00B11168" w:rsidRPr="00492F82">
        <w:rPr>
          <w:sz w:val="24"/>
          <w:szCs w:val="24"/>
        </w:rPr>
        <w:t>. Together</w:t>
      </w:r>
      <w:r w:rsidR="009E334B">
        <w:rPr>
          <w:sz w:val="24"/>
          <w:szCs w:val="24"/>
        </w:rPr>
        <w:t>,</w:t>
      </w:r>
      <w:r w:rsidR="00B11168" w:rsidRPr="00492F82">
        <w:rPr>
          <w:sz w:val="24"/>
          <w:szCs w:val="24"/>
        </w:rPr>
        <w:t xml:space="preserve"> they</w:t>
      </w:r>
      <w:r w:rsidR="006E6372" w:rsidRPr="00492F82">
        <w:rPr>
          <w:sz w:val="24"/>
          <w:szCs w:val="24"/>
        </w:rPr>
        <w:t xml:space="preserve"> will positively </w:t>
      </w:r>
      <w:r w:rsidR="000E106F" w:rsidRPr="00492F82">
        <w:rPr>
          <w:sz w:val="24"/>
          <w:szCs w:val="24"/>
        </w:rPr>
        <w:t>affect</w:t>
      </w:r>
      <w:r w:rsidR="006E6372" w:rsidRPr="00492F82">
        <w:rPr>
          <w:sz w:val="24"/>
          <w:szCs w:val="24"/>
        </w:rPr>
        <w:t xml:space="preserve"> the campus </w:t>
      </w:r>
      <w:r w:rsidR="009E334B">
        <w:rPr>
          <w:sz w:val="24"/>
          <w:szCs w:val="24"/>
        </w:rPr>
        <w:t>and</w:t>
      </w:r>
      <w:r w:rsidR="006E6372" w:rsidRPr="00492F82">
        <w:rPr>
          <w:sz w:val="24"/>
          <w:szCs w:val="24"/>
        </w:rPr>
        <w:t xml:space="preserve"> the region through investments in faculty endowments and training programs</w:t>
      </w:r>
      <w:r w:rsidR="00B11168" w:rsidRPr="00492F82">
        <w:rPr>
          <w:sz w:val="24"/>
          <w:szCs w:val="24"/>
        </w:rPr>
        <w:t>;</w:t>
      </w:r>
      <w:r w:rsidR="006E6372" w:rsidRPr="00492F82">
        <w:rPr>
          <w:sz w:val="24"/>
          <w:szCs w:val="24"/>
        </w:rPr>
        <w:t xml:space="preserve"> scholarly research by faculty and students</w:t>
      </w:r>
      <w:r w:rsidR="00B11168" w:rsidRPr="00492F82">
        <w:rPr>
          <w:sz w:val="24"/>
          <w:szCs w:val="24"/>
        </w:rPr>
        <w:t>;</w:t>
      </w:r>
      <w:r w:rsidR="006E6372" w:rsidRPr="00492F82">
        <w:rPr>
          <w:sz w:val="24"/>
          <w:szCs w:val="24"/>
        </w:rPr>
        <w:t xml:space="preserve"> student scholarships</w:t>
      </w:r>
      <w:r w:rsidR="00B11168" w:rsidRPr="00492F82">
        <w:rPr>
          <w:sz w:val="24"/>
          <w:szCs w:val="24"/>
        </w:rPr>
        <w:t xml:space="preserve"> (e.g.,</w:t>
      </w:r>
      <w:r w:rsidR="006E6372" w:rsidRPr="00492F82">
        <w:rPr>
          <w:sz w:val="24"/>
          <w:szCs w:val="24"/>
        </w:rPr>
        <w:t xml:space="preserve"> </w:t>
      </w:r>
      <w:r w:rsidR="000E106F" w:rsidRPr="00492F82">
        <w:rPr>
          <w:sz w:val="24"/>
          <w:szCs w:val="24"/>
        </w:rPr>
        <w:t>f</w:t>
      </w:r>
      <w:r w:rsidR="006E6372" w:rsidRPr="00492F82">
        <w:rPr>
          <w:sz w:val="24"/>
          <w:szCs w:val="24"/>
        </w:rPr>
        <w:t xml:space="preserve">irst </w:t>
      </w:r>
      <w:r w:rsidR="000E106F" w:rsidRPr="00492F82">
        <w:rPr>
          <w:sz w:val="24"/>
          <w:szCs w:val="24"/>
        </w:rPr>
        <w:t>g</w:t>
      </w:r>
      <w:r w:rsidR="006E6372" w:rsidRPr="00492F82">
        <w:rPr>
          <w:sz w:val="24"/>
          <w:szCs w:val="24"/>
        </w:rPr>
        <w:t>eneration scholarships, endowed scholarships</w:t>
      </w:r>
      <w:r w:rsidR="007F025E">
        <w:rPr>
          <w:sz w:val="24"/>
          <w:szCs w:val="24"/>
        </w:rPr>
        <w:t>,</w:t>
      </w:r>
      <w:r w:rsidR="006E6372" w:rsidRPr="00492F82">
        <w:rPr>
          <w:sz w:val="24"/>
          <w:szCs w:val="24"/>
        </w:rPr>
        <w:t xml:space="preserve"> performance scholarships, </w:t>
      </w:r>
      <w:r w:rsidR="00B11168" w:rsidRPr="00492F82">
        <w:rPr>
          <w:sz w:val="24"/>
          <w:szCs w:val="24"/>
        </w:rPr>
        <w:t>and athletic scholarships)</w:t>
      </w:r>
      <w:r w:rsidR="009E334B">
        <w:rPr>
          <w:sz w:val="24"/>
          <w:szCs w:val="24"/>
        </w:rPr>
        <w:t>,</w:t>
      </w:r>
      <w:r w:rsidR="00B11168" w:rsidRPr="00492F82">
        <w:rPr>
          <w:sz w:val="24"/>
          <w:szCs w:val="24"/>
        </w:rPr>
        <w:t xml:space="preserve"> </w:t>
      </w:r>
      <w:r w:rsidR="00B92A26" w:rsidRPr="00492F82">
        <w:rPr>
          <w:sz w:val="24"/>
          <w:szCs w:val="24"/>
        </w:rPr>
        <w:t>undergraduate learning projects, international learning projects, and career readiness projects</w:t>
      </w:r>
      <w:r w:rsidR="00B11168" w:rsidRPr="00492F82">
        <w:rPr>
          <w:sz w:val="24"/>
          <w:szCs w:val="24"/>
        </w:rPr>
        <w:t>;</w:t>
      </w:r>
      <w:r w:rsidR="00B92A26" w:rsidRPr="00492F82">
        <w:rPr>
          <w:sz w:val="24"/>
          <w:szCs w:val="24"/>
        </w:rPr>
        <w:t xml:space="preserve"> Eagle Funds for Excellence</w:t>
      </w:r>
      <w:r w:rsidR="00B11168" w:rsidRPr="00492F82">
        <w:rPr>
          <w:sz w:val="24"/>
          <w:szCs w:val="24"/>
        </w:rPr>
        <w:t>;</w:t>
      </w:r>
      <w:r w:rsidR="00B92A26" w:rsidRPr="00492F82">
        <w:rPr>
          <w:sz w:val="24"/>
          <w:szCs w:val="24"/>
        </w:rPr>
        <w:t xml:space="preserve"> funding for WGCU public radio and television</w:t>
      </w:r>
      <w:r w:rsidR="00B11168" w:rsidRPr="00492F82">
        <w:rPr>
          <w:sz w:val="24"/>
          <w:szCs w:val="24"/>
        </w:rPr>
        <w:t>;</w:t>
      </w:r>
      <w:r w:rsidR="00B92A26" w:rsidRPr="00492F82">
        <w:rPr>
          <w:sz w:val="24"/>
          <w:szCs w:val="24"/>
        </w:rPr>
        <w:t xml:space="preserve"> support for FGCU’s Service Learning</w:t>
      </w:r>
      <w:r w:rsidR="009E334B">
        <w:rPr>
          <w:sz w:val="24"/>
          <w:szCs w:val="24"/>
        </w:rPr>
        <w:t>;</w:t>
      </w:r>
      <w:r w:rsidR="00B92A26" w:rsidRPr="00492F82">
        <w:rPr>
          <w:sz w:val="24"/>
          <w:szCs w:val="24"/>
        </w:rPr>
        <w:t xml:space="preserve"> and expansion of lifelong</w:t>
      </w:r>
      <w:r w:rsidR="00B11168" w:rsidRPr="00492F82">
        <w:rPr>
          <w:sz w:val="24"/>
          <w:szCs w:val="24"/>
        </w:rPr>
        <w:t>-</w:t>
      </w:r>
      <w:r w:rsidR="00B92A26" w:rsidRPr="00492F82">
        <w:rPr>
          <w:sz w:val="24"/>
          <w:szCs w:val="24"/>
        </w:rPr>
        <w:t>learning opportunities through the Renaissance Academy</w:t>
      </w:r>
      <w:r w:rsidR="004F6615">
        <w:rPr>
          <w:sz w:val="24"/>
          <w:szCs w:val="24"/>
        </w:rPr>
        <w:t>.</w:t>
      </w:r>
    </w:p>
    <w:p w14:paraId="7C29C036" w14:textId="1EC78AAD" w:rsidR="0079620E" w:rsidRPr="00492F82" w:rsidRDefault="004F6615" w:rsidP="00837E7B">
      <w:pPr>
        <w:tabs>
          <w:tab w:val="left" w:pos="0"/>
        </w:tabs>
        <w:rPr>
          <w:sz w:val="24"/>
          <w:szCs w:val="24"/>
        </w:rPr>
      </w:pPr>
      <w:r w:rsidRPr="004F6615">
        <w:rPr>
          <w:sz w:val="24"/>
          <w:szCs w:val="24"/>
        </w:rPr>
        <w:t xml:space="preserve">Renaissance Academy offers hundreds of non-credit enrichment courses. Founded in January 2001, the Academy is the University’s non-credit lifelong learning program for adults. It is based on the premise that learning should never cease; that keeping the mind intellectually, creatively and culturally active fundamentally enriches and invigorates our lives. Among the Renaissance </w:t>
      </w:r>
      <w:r w:rsidRPr="004F6615">
        <w:rPr>
          <w:sz w:val="24"/>
          <w:szCs w:val="24"/>
        </w:rPr>
        <w:lastRenderedPageBreak/>
        <w:t xml:space="preserve">Academy’s diverse mix of educational offerings are affordable, non-credit single lectures; short courses; day trips; computer classes; film series; life enrichment classes; writing workshops; music lessons; travel abroad programs; special events such as museum visits; private tours; distinguished scholar symposia; and discussion forums providing academic substance in an interactive format that encourages the exchange of ideas and provides both intellectual stimulation and personal enjoyment. </w:t>
      </w:r>
      <w:r w:rsidR="00B92A26" w:rsidRPr="00492F82">
        <w:rPr>
          <w:sz w:val="24"/>
          <w:szCs w:val="24"/>
        </w:rPr>
        <w:t xml:space="preserve"> </w:t>
      </w:r>
      <w:r w:rsidRPr="004F6615">
        <w:rPr>
          <w:sz w:val="24"/>
          <w:szCs w:val="24"/>
        </w:rPr>
        <w:t>In all of Southwest Florida, the total number of Renaissance Academy classes has grown from approximately 600 (with total registrations of 7,300) in academic year 2011-2012, to over 950 classes (with approximately 11,000 registrations) in academic year 2013-2014.</w:t>
      </w:r>
    </w:p>
    <w:p w14:paraId="68BFD38C" w14:textId="1E8B55B4" w:rsidR="001D3FB8" w:rsidRDefault="001D3FB8" w:rsidP="00837E7B">
      <w:pPr>
        <w:tabs>
          <w:tab w:val="left" w:pos="0"/>
        </w:tabs>
        <w:rPr>
          <w:sz w:val="24"/>
          <w:szCs w:val="24"/>
        </w:rPr>
      </w:pPr>
      <w:r>
        <w:rPr>
          <w:sz w:val="24"/>
          <w:szCs w:val="24"/>
        </w:rPr>
        <w:t xml:space="preserve">FGCU continues to stand out amongst its peers as exemplary in its commitment to community engagement and service learning.  In 2014, the </w:t>
      </w:r>
      <w:r w:rsidR="004230E5">
        <w:rPr>
          <w:sz w:val="24"/>
          <w:szCs w:val="24"/>
        </w:rPr>
        <w:t>cumulative</w:t>
      </w:r>
      <w:r>
        <w:rPr>
          <w:sz w:val="24"/>
          <w:szCs w:val="24"/>
        </w:rPr>
        <w:t xml:space="preserve"> number of service hours contributed to the community by FGCU students rose to just under 1.6 million</w:t>
      </w:r>
      <w:r w:rsidR="004F6615">
        <w:rPr>
          <w:sz w:val="24"/>
          <w:szCs w:val="24"/>
        </w:rPr>
        <w:t xml:space="preserve"> in approximately 350 community partner agencies</w:t>
      </w:r>
      <w:r>
        <w:rPr>
          <w:sz w:val="24"/>
          <w:szCs w:val="24"/>
        </w:rPr>
        <w:t xml:space="preserve"> since the </w:t>
      </w:r>
      <w:r w:rsidR="00CB7CBF">
        <w:rPr>
          <w:sz w:val="24"/>
          <w:szCs w:val="24"/>
        </w:rPr>
        <w:t>University</w:t>
      </w:r>
      <w:r>
        <w:rPr>
          <w:sz w:val="24"/>
          <w:szCs w:val="24"/>
        </w:rPr>
        <w:t xml:space="preserve"> opened in 1997.  FGCU has been recognized with placement on the National and Community Service’s Honor Roll with Distinct</w:t>
      </w:r>
      <w:r w:rsidR="004F4E3E">
        <w:rPr>
          <w:sz w:val="24"/>
          <w:szCs w:val="24"/>
        </w:rPr>
        <w:t>ion for three consecutive years and has been the recipient of the Campus Compact Award.</w:t>
      </w:r>
    </w:p>
    <w:p w14:paraId="22238C7C" w14:textId="77777777" w:rsidR="003A33AB" w:rsidRPr="003473E8" w:rsidRDefault="003A33AB" w:rsidP="00837E7B">
      <w:pPr>
        <w:tabs>
          <w:tab w:val="left" w:pos="0"/>
        </w:tabs>
        <w:rPr>
          <w:i/>
          <w:sz w:val="24"/>
          <w:szCs w:val="24"/>
        </w:rPr>
      </w:pPr>
      <w:r w:rsidRPr="003473E8">
        <w:rPr>
          <w:i/>
          <w:sz w:val="24"/>
          <w:szCs w:val="24"/>
        </w:rPr>
        <w:t>Academic &amp; IT Support</w:t>
      </w:r>
    </w:p>
    <w:p w14:paraId="48D136BB" w14:textId="77777777" w:rsidR="003A33AB" w:rsidRPr="003473E8" w:rsidRDefault="003A33AB" w:rsidP="00837E7B">
      <w:pPr>
        <w:tabs>
          <w:tab w:val="left" w:pos="0"/>
        </w:tabs>
        <w:rPr>
          <w:i/>
          <w:sz w:val="24"/>
          <w:szCs w:val="24"/>
          <w:u w:val="single"/>
        </w:rPr>
      </w:pPr>
      <w:r w:rsidRPr="00A9248F">
        <w:rPr>
          <w:sz w:val="24"/>
          <w:szCs w:val="24"/>
        </w:rPr>
        <w:t>Academic support at FGCU is exceptional. FGCU’s library services are among the great strengths of the institution. Occupying over 135,000 square feet, FGCU’s state-of-the-art library building is the on-campus focal point for student and faculty scholarship</w:t>
      </w:r>
      <w:r w:rsidR="000E1CB9">
        <w:rPr>
          <w:sz w:val="24"/>
          <w:szCs w:val="24"/>
        </w:rPr>
        <w:t>,</w:t>
      </w:r>
      <w:r>
        <w:rPr>
          <w:sz w:val="24"/>
          <w:szCs w:val="24"/>
        </w:rPr>
        <w:t xml:space="preserve"> </w:t>
      </w:r>
      <w:r w:rsidRPr="00C136E2">
        <w:rPr>
          <w:sz w:val="24"/>
          <w:szCs w:val="24"/>
        </w:rPr>
        <w:t>averaging approximately 2</w:t>
      </w:r>
      <w:r>
        <w:rPr>
          <w:sz w:val="24"/>
          <w:szCs w:val="24"/>
        </w:rPr>
        <w:t>,</w:t>
      </w:r>
      <w:r w:rsidRPr="00C136E2">
        <w:rPr>
          <w:sz w:val="24"/>
          <w:szCs w:val="24"/>
        </w:rPr>
        <w:t>000 visitors per day. The library boasts 500,000 titles, 45,000 journals, 25,000 cataloged e-books, over 300 data ba</w:t>
      </w:r>
      <w:r>
        <w:rPr>
          <w:sz w:val="24"/>
          <w:szCs w:val="24"/>
        </w:rPr>
        <w:t>ses, and 135 public computers</w:t>
      </w:r>
      <w:r w:rsidR="001C6A70">
        <w:rPr>
          <w:sz w:val="24"/>
          <w:szCs w:val="24"/>
        </w:rPr>
        <w:t>,</w:t>
      </w:r>
      <w:r>
        <w:rPr>
          <w:sz w:val="24"/>
          <w:szCs w:val="24"/>
        </w:rPr>
        <w:t xml:space="preserve"> and r</w:t>
      </w:r>
      <w:r w:rsidRPr="00C136E2">
        <w:rPr>
          <w:sz w:val="24"/>
          <w:szCs w:val="24"/>
        </w:rPr>
        <w:t>emote access</w:t>
      </w:r>
      <w:r w:rsidR="000E1CB9">
        <w:rPr>
          <w:sz w:val="24"/>
          <w:szCs w:val="24"/>
        </w:rPr>
        <w:t xml:space="preserve"> to </w:t>
      </w:r>
      <w:r w:rsidR="006E378B">
        <w:rPr>
          <w:sz w:val="24"/>
          <w:szCs w:val="24"/>
        </w:rPr>
        <w:t>resources</w:t>
      </w:r>
      <w:r w:rsidRPr="00C136E2">
        <w:rPr>
          <w:sz w:val="24"/>
          <w:szCs w:val="24"/>
        </w:rPr>
        <w:t xml:space="preserve"> is available 24/7</w:t>
      </w:r>
      <w:r>
        <w:rPr>
          <w:sz w:val="24"/>
          <w:szCs w:val="24"/>
        </w:rPr>
        <w:t>.</w:t>
      </w:r>
    </w:p>
    <w:p w14:paraId="1D2D7AEE" w14:textId="4B4D74D0" w:rsidR="006E378B" w:rsidRDefault="001C6A70" w:rsidP="00837E7B">
      <w:pPr>
        <w:tabs>
          <w:tab w:val="left" w:pos="0"/>
        </w:tabs>
        <w:rPr>
          <w:sz w:val="24"/>
          <w:szCs w:val="24"/>
        </w:rPr>
      </w:pPr>
      <w:r>
        <w:rPr>
          <w:sz w:val="24"/>
          <w:szCs w:val="24"/>
        </w:rPr>
        <w:t>T</w:t>
      </w:r>
      <w:r w:rsidRPr="00A9248F">
        <w:rPr>
          <w:sz w:val="24"/>
          <w:szCs w:val="24"/>
        </w:rPr>
        <w:t xml:space="preserve">he </w:t>
      </w:r>
      <w:r w:rsidR="00CB7CBF">
        <w:rPr>
          <w:sz w:val="24"/>
          <w:szCs w:val="24"/>
        </w:rPr>
        <w:t>University</w:t>
      </w:r>
      <w:r w:rsidRPr="00A9248F">
        <w:rPr>
          <w:sz w:val="24"/>
          <w:szCs w:val="24"/>
        </w:rPr>
        <w:t xml:space="preserve"> has an</w:t>
      </w:r>
      <w:r>
        <w:rPr>
          <w:sz w:val="24"/>
          <w:szCs w:val="24"/>
        </w:rPr>
        <w:t xml:space="preserve"> outstanding</w:t>
      </w:r>
      <w:r w:rsidRPr="00A9248F">
        <w:rPr>
          <w:sz w:val="24"/>
          <w:szCs w:val="24"/>
        </w:rPr>
        <w:t xml:space="preserve"> I</w:t>
      </w:r>
      <w:r>
        <w:rPr>
          <w:sz w:val="24"/>
          <w:szCs w:val="24"/>
        </w:rPr>
        <w:t xml:space="preserve">nformation </w:t>
      </w:r>
      <w:r w:rsidRPr="00A9248F">
        <w:rPr>
          <w:sz w:val="24"/>
          <w:szCs w:val="24"/>
        </w:rPr>
        <w:t>T</w:t>
      </w:r>
      <w:r>
        <w:rPr>
          <w:sz w:val="24"/>
          <w:szCs w:val="24"/>
        </w:rPr>
        <w:t>echnology (IT)</w:t>
      </w:r>
      <w:r w:rsidRPr="00A9248F">
        <w:rPr>
          <w:sz w:val="24"/>
          <w:szCs w:val="24"/>
        </w:rPr>
        <w:t xml:space="preserve"> platform that is flexible and well-positioned to sustain further growth.</w:t>
      </w:r>
      <w:r>
        <w:rPr>
          <w:sz w:val="24"/>
          <w:szCs w:val="24"/>
        </w:rPr>
        <w:t xml:space="preserve"> </w:t>
      </w:r>
      <w:r w:rsidRPr="00A9248F">
        <w:rPr>
          <w:sz w:val="24"/>
          <w:szCs w:val="24"/>
        </w:rPr>
        <w:t xml:space="preserve">Over </w:t>
      </w:r>
      <w:r w:rsidR="006E378B">
        <w:rPr>
          <w:sz w:val="24"/>
          <w:szCs w:val="24"/>
        </w:rPr>
        <w:t>350</w:t>
      </w:r>
      <w:r w:rsidRPr="00A9248F">
        <w:rPr>
          <w:sz w:val="24"/>
          <w:szCs w:val="24"/>
        </w:rPr>
        <w:t xml:space="preserve"> physical and virtual servers provide for the delivery of</w:t>
      </w:r>
      <w:r>
        <w:rPr>
          <w:sz w:val="24"/>
          <w:szCs w:val="24"/>
        </w:rPr>
        <w:t xml:space="preserve"> a broad range of applications and </w:t>
      </w:r>
      <w:r w:rsidRPr="00492F82">
        <w:rPr>
          <w:sz w:val="24"/>
          <w:szCs w:val="24"/>
        </w:rPr>
        <w:t xml:space="preserve">the </w:t>
      </w:r>
      <w:r w:rsidR="00CB7CBF">
        <w:rPr>
          <w:sz w:val="24"/>
          <w:szCs w:val="24"/>
        </w:rPr>
        <w:t>University</w:t>
      </w:r>
      <w:r w:rsidRPr="00492F82">
        <w:rPr>
          <w:sz w:val="24"/>
          <w:szCs w:val="24"/>
        </w:rPr>
        <w:t xml:space="preserve"> recently acquired increased bandwidth that supports greater use of technology for academic support. </w:t>
      </w:r>
      <w:r w:rsidR="006E378B">
        <w:rPr>
          <w:sz w:val="24"/>
          <w:szCs w:val="24"/>
        </w:rPr>
        <w:t xml:space="preserve">FGCU is an equity member of the Florida Lambda Rail (FLR), an independent research and education network aimed at facilitating advanced research and education.  FLR provides opportunities for faculty members, researchers, and students to collaborate with colleagues around the world and provides access to Internet2.  </w:t>
      </w:r>
    </w:p>
    <w:p w14:paraId="74D1AB83" w14:textId="5AB04AE2" w:rsidR="003A33AB" w:rsidRPr="00A9248F" w:rsidRDefault="001C6A70" w:rsidP="00837E7B">
      <w:pPr>
        <w:tabs>
          <w:tab w:val="left" w:pos="0"/>
        </w:tabs>
        <w:rPr>
          <w:sz w:val="24"/>
          <w:szCs w:val="24"/>
        </w:rPr>
      </w:pPr>
      <w:r>
        <w:rPr>
          <w:sz w:val="24"/>
          <w:szCs w:val="24"/>
        </w:rPr>
        <w:t xml:space="preserve">FGCU’s network backbone </w:t>
      </w:r>
      <w:r w:rsidR="003A33AB" w:rsidRPr="00A9248F">
        <w:rPr>
          <w:sz w:val="24"/>
          <w:szCs w:val="24"/>
        </w:rPr>
        <w:t>connects all campus buildings at gigabyte speeds with 100 megabit connectivity to the desktop</w:t>
      </w:r>
      <w:r>
        <w:rPr>
          <w:sz w:val="24"/>
          <w:szCs w:val="24"/>
        </w:rPr>
        <w:t>, with e</w:t>
      </w:r>
      <w:r w:rsidRPr="00C136E2">
        <w:rPr>
          <w:sz w:val="24"/>
          <w:szCs w:val="24"/>
        </w:rPr>
        <w:t>very classroom furnished with an elect</w:t>
      </w:r>
      <w:r w:rsidRPr="00A9248F">
        <w:rPr>
          <w:sz w:val="24"/>
          <w:szCs w:val="24"/>
        </w:rPr>
        <w:t>ronic podium</w:t>
      </w:r>
      <w:r w:rsidR="003A33AB" w:rsidRPr="00A9248F">
        <w:rPr>
          <w:sz w:val="24"/>
          <w:szCs w:val="24"/>
        </w:rPr>
        <w:t xml:space="preserve">. Wireless computing is nearly ubiquitous on campus. </w:t>
      </w:r>
      <w:r w:rsidR="00607937">
        <w:rPr>
          <w:sz w:val="24"/>
          <w:szCs w:val="24"/>
        </w:rPr>
        <w:t>Finally, c</w:t>
      </w:r>
      <w:r w:rsidR="003A33AB" w:rsidRPr="00A9248F">
        <w:rPr>
          <w:sz w:val="24"/>
          <w:szCs w:val="24"/>
        </w:rPr>
        <w:t xml:space="preserve">ourses are supported through the </w:t>
      </w:r>
      <w:r w:rsidR="003A33AB" w:rsidRPr="00C136E2">
        <w:rPr>
          <w:sz w:val="24"/>
          <w:szCs w:val="24"/>
        </w:rPr>
        <w:t>Canvas Learning Management system</w:t>
      </w:r>
      <w:r>
        <w:rPr>
          <w:sz w:val="24"/>
          <w:szCs w:val="24"/>
        </w:rPr>
        <w:t>,</w:t>
      </w:r>
      <w:r w:rsidR="003A33AB" w:rsidRPr="00C136E2">
        <w:rPr>
          <w:sz w:val="24"/>
          <w:szCs w:val="24"/>
        </w:rPr>
        <w:t xml:space="preserve"> </w:t>
      </w:r>
      <w:r>
        <w:rPr>
          <w:sz w:val="24"/>
          <w:szCs w:val="24"/>
        </w:rPr>
        <w:t xml:space="preserve">and </w:t>
      </w:r>
      <w:r w:rsidR="0034110F">
        <w:rPr>
          <w:sz w:val="24"/>
          <w:szCs w:val="24"/>
        </w:rPr>
        <w:t>u</w:t>
      </w:r>
      <w:r w:rsidRPr="00A9248F">
        <w:rPr>
          <w:sz w:val="24"/>
          <w:szCs w:val="24"/>
        </w:rPr>
        <w:t xml:space="preserve">niversity business operations are facilitated through the </w:t>
      </w:r>
      <w:r w:rsidR="00CB7CBF">
        <w:rPr>
          <w:sz w:val="24"/>
          <w:szCs w:val="24"/>
        </w:rPr>
        <w:t>University</w:t>
      </w:r>
      <w:r w:rsidRPr="00A9248F">
        <w:rPr>
          <w:sz w:val="24"/>
          <w:szCs w:val="24"/>
        </w:rPr>
        <w:t xml:space="preserve">’s Banner </w:t>
      </w:r>
      <w:r>
        <w:rPr>
          <w:sz w:val="24"/>
          <w:szCs w:val="24"/>
        </w:rPr>
        <w:t>software</w:t>
      </w:r>
      <w:r w:rsidR="003A33AB" w:rsidRPr="00A9248F">
        <w:rPr>
          <w:sz w:val="24"/>
          <w:szCs w:val="24"/>
        </w:rPr>
        <w:t xml:space="preserve">. </w:t>
      </w:r>
    </w:p>
    <w:p w14:paraId="0E08E8CC" w14:textId="5A8EA66D" w:rsidR="00507D41" w:rsidRDefault="00607937" w:rsidP="00507D41">
      <w:pPr>
        <w:tabs>
          <w:tab w:val="left" w:pos="0"/>
        </w:tabs>
        <w:rPr>
          <w:sz w:val="24"/>
          <w:szCs w:val="24"/>
        </w:rPr>
      </w:pPr>
      <w:r>
        <w:rPr>
          <w:sz w:val="24"/>
          <w:szCs w:val="24"/>
        </w:rPr>
        <w:lastRenderedPageBreak/>
        <w:t>Auxiliary services</w:t>
      </w:r>
      <w:r w:rsidR="00507D41">
        <w:rPr>
          <w:sz w:val="24"/>
          <w:szCs w:val="24"/>
        </w:rPr>
        <w:t xml:space="preserve"> such as the </w:t>
      </w:r>
      <w:r w:rsidR="00507D41" w:rsidRPr="00A9248F">
        <w:rPr>
          <w:sz w:val="24"/>
          <w:szCs w:val="24"/>
        </w:rPr>
        <w:t>bookstore</w:t>
      </w:r>
      <w:r w:rsidR="00507D41">
        <w:rPr>
          <w:sz w:val="24"/>
          <w:szCs w:val="24"/>
        </w:rPr>
        <w:t>,</w:t>
      </w:r>
      <w:r w:rsidR="00507D41" w:rsidRPr="00A9248F">
        <w:rPr>
          <w:sz w:val="24"/>
          <w:szCs w:val="24"/>
        </w:rPr>
        <w:t xml:space="preserve"> food service operations</w:t>
      </w:r>
      <w:r w:rsidR="00507D41">
        <w:rPr>
          <w:sz w:val="24"/>
          <w:szCs w:val="24"/>
        </w:rPr>
        <w:t>,</w:t>
      </w:r>
      <w:r w:rsidR="00507D41" w:rsidRPr="00A9248F">
        <w:rPr>
          <w:sz w:val="24"/>
          <w:szCs w:val="24"/>
        </w:rPr>
        <w:t xml:space="preserve"> </w:t>
      </w:r>
      <w:r w:rsidR="00507D41">
        <w:rPr>
          <w:sz w:val="24"/>
          <w:szCs w:val="24"/>
        </w:rPr>
        <w:t xml:space="preserve">the Eagle ID Card System, </w:t>
      </w:r>
      <w:r w:rsidR="000B6E6F">
        <w:rPr>
          <w:sz w:val="24"/>
          <w:szCs w:val="24"/>
        </w:rPr>
        <w:t xml:space="preserve">and </w:t>
      </w:r>
      <w:r w:rsidR="00507D41" w:rsidRPr="00A9248F">
        <w:rPr>
          <w:sz w:val="24"/>
          <w:szCs w:val="24"/>
        </w:rPr>
        <w:t>the R25 classroom and event scheduling system</w:t>
      </w:r>
      <w:r w:rsidR="00507D41">
        <w:rPr>
          <w:sz w:val="24"/>
          <w:szCs w:val="24"/>
        </w:rPr>
        <w:t xml:space="preserve"> </w:t>
      </w:r>
      <w:r w:rsidR="00507D41" w:rsidRPr="00A9248F">
        <w:rPr>
          <w:sz w:val="24"/>
          <w:szCs w:val="24"/>
        </w:rPr>
        <w:t xml:space="preserve">generate revenue for the </w:t>
      </w:r>
      <w:r w:rsidR="00CB7CBF">
        <w:rPr>
          <w:sz w:val="24"/>
          <w:szCs w:val="24"/>
        </w:rPr>
        <w:t>University</w:t>
      </w:r>
      <w:r w:rsidR="00507D41" w:rsidRPr="00A9248F">
        <w:rPr>
          <w:sz w:val="24"/>
          <w:szCs w:val="24"/>
        </w:rPr>
        <w:t xml:space="preserve">.  </w:t>
      </w:r>
    </w:p>
    <w:p w14:paraId="673178D6" w14:textId="2D93963D" w:rsidR="004F4C1C" w:rsidRDefault="004F4C1C" w:rsidP="00837E7B">
      <w:pPr>
        <w:tabs>
          <w:tab w:val="left" w:pos="0"/>
        </w:tabs>
        <w:rPr>
          <w:sz w:val="24"/>
          <w:szCs w:val="24"/>
        </w:rPr>
      </w:pPr>
      <w:r>
        <w:rPr>
          <w:sz w:val="24"/>
          <w:szCs w:val="24"/>
        </w:rPr>
        <w:t xml:space="preserve">FGCU provides </w:t>
      </w:r>
      <w:r w:rsidR="004F4E3E">
        <w:rPr>
          <w:sz w:val="24"/>
          <w:szCs w:val="24"/>
        </w:rPr>
        <w:t xml:space="preserve">academic </w:t>
      </w:r>
      <w:r>
        <w:rPr>
          <w:sz w:val="24"/>
          <w:szCs w:val="24"/>
        </w:rPr>
        <w:t xml:space="preserve">advising within the five academic colleges to support students in their pursuit of a degree.  Between 2011 and 2014, the </w:t>
      </w:r>
      <w:r w:rsidR="00CB7CBF">
        <w:rPr>
          <w:sz w:val="24"/>
          <w:szCs w:val="24"/>
        </w:rPr>
        <w:t>University</w:t>
      </w:r>
      <w:r>
        <w:rPr>
          <w:sz w:val="24"/>
          <w:szCs w:val="24"/>
        </w:rPr>
        <w:t xml:space="preserve"> hired a number of additional faculty advisors, reducing the student to advisor ratio within the colleges from over 600:1 to approximately 400:1.  Additional efforts to include the creation of </w:t>
      </w:r>
      <w:r w:rsidR="00923DF9">
        <w:rPr>
          <w:sz w:val="24"/>
          <w:szCs w:val="24"/>
        </w:rPr>
        <w:t xml:space="preserve">two </w:t>
      </w:r>
      <w:r>
        <w:rPr>
          <w:sz w:val="24"/>
          <w:szCs w:val="24"/>
        </w:rPr>
        <w:t>positions to target advising for “super seniors” (students who have earned over 120 credit hours) were implemented in fall 2014.</w:t>
      </w:r>
    </w:p>
    <w:p w14:paraId="6FF58F31" w14:textId="77777777" w:rsidR="00E27530" w:rsidRPr="003473E8" w:rsidRDefault="00E27530" w:rsidP="00837E7B">
      <w:pPr>
        <w:tabs>
          <w:tab w:val="left" w:pos="0"/>
        </w:tabs>
        <w:rPr>
          <w:i/>
          <w:sz w:val="24"/>
          <w:szCs w:val="24"/>
        </w:rPr>
      </w:pPr>
      <w:r w:rsidRPr="00E27530">
        <w:rPr>
          <w:i/>
          <w:sz w:val="24"/>
          <w:szCs w:val="24"/>
        </w:rPr>
        <w:t>Sustainability</w:t>
      </w:r>
      <w:r>
        <w:rPr>
          <w:i/>
          <w:sz w:val="24"/>
          <w:szCs w:val="24"/>
        </w:rPr>
        <w:t xml:space="preserve"> in Academics &amp; Engagement </w:t>
      </w:r>
    </w:p>
    <w:p w14:paraId="3A8348C2" w14:textId="53EC68EE" w:rsidR="00E27530" w:rsidRPr="00E27530" w:rsidRDefault="00E27530" w:rsidP="00837E7B">
      <w:pPr>
        <w:tabs>
          <w:tab w:val="left" w:pos="0"/>
        </w:tabs>
        <w:rPr>
          <w:rFonts w:ascii="Calibri" w:eastAsia="Calibri" w:hAnsi="Calibri" w:cs="Calibri"/>
          <w:sz w:val="24"/>
          <w:szCs w:val="24"/>
        </w:rPr>
      </w:pPr>
      <w:r w:rsidRPr="00E27530">
        <w:rPr>
          <w:rFonts w:ascii="Calibri" w:eastAsia="Calibri" w:hAnsi="Calibri" w:cs="Calibri"/>
          <w:sz w:val="24"/>
          <w:szCs w:val="24"/>
        </w:rPr>
        <w:t xml:space="preserve">In support of its mission-driven focus on sustainability, FGCU participates in the Sustainability Tracking, Assessment &amp; Rating System (STARS). STARS is a program of The Association for the Advancement of Sustainability in Higher Education (AASHE). It measures how well schools integrate social, environmental, and economic sustainability into four weighted categories: Academics, Engagement, Operations, and Planning &amp; Administration. The report allows institutions to make meaningful comparisons over time and across higher educational sites.  In 2014, FGCU received a Gold Rating from </w:t>
      </w:r>
      <w:r w:rsidR="004F6615">
        <w:rPr>
          <w:rFonts w:ascii="Calibri" w:eastAsia="Calibri" w:hAnsi="Calibri" w:cs="Calibri"/>
          <w:sz w:val="24"/>
          <w:szCs w:val="24"/>
        </w:rPr>
        <w:t>AASHE</w:t>
      </w:r>
      <w:r w:rsidRPr="00E27530">
        <w:rPr>
          <w:rFonts w:ascii="Calibri" w:eastAsia="Calibri" w:hAnsi="Calibri" w:cs="Calibri"/>
          <w:sz w:val="24"/>
          <w:szCs w:val="24"/>
        </w:rPr>
        <w:t xml:space="preserve"> for their sustainability efforts. The chart below summarizes the findings of the report.</w:t>
      </w:r>
    </w:p>
    <w:p w14:paraId="598AFAFD" w14:textId="77777777" w:rsidR="00E27530" w:rsidRPr="00E27530" w:rsidRDefault="00E27530" w:rsidP="00837E7B">
      <w:pPr>
        <w:tabs>
          <w:tab w:val="left" w:pos="0"/>
        </w:tabs>
        <w:jc w:val="center"/>
        <w:rPr>
          <w:rFonts w:ascii="Calibri" w:eastAsia="Calibri" w:hAnsi="Calibri" w:cs="Calibri"/>
          <w:sz w:val="24"/>
          <w:szCs w:val="24"/>
        </w:rPr>
      </w:pPr>
      <w:r w:rsidRPr="00E27530">
        <w:rPr>
          <w:rFonts w:ascii="Calibri" w:eastAsia="Calibri" w:hAnsi="Calibri" w:cs="Times New Roman"/>
          <w:noProof/>
        </w:rPr>
        <w:drawing>
          <wp:inline distT="0" distB="0" distL="0" distR="0" wp14:anchorId="14F9DCDB" wp14:editId="509A7292">
            <wp:extent cx="4124325" cy="293370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CBA4CF" w14:textId="299F7BFD" w:rsidR="00E27530" w:rsidRPr="00B47F13" w:rsidRDefault="00B47F13" w:rsidP="00837E7B">
      <w:pPr>
        <w:tabs>
          <w:tab w:val="left" w:pos="0"/>
        </w:tabs>
        <w:rPr>
          <w:rFonts w:ascii="Calibri" w:eastAsia="Calibri" w:hAnsi="Calibri" w:cs="Calibri"/>
          <w:sz w:val="18"/>
          <w:szCs w:val="18"/>
        </w:rPr>
      </w:pPr>
      <w:r>
        <w:rPr>
          <w:rFonts w:ascii="Calibri" w:eastAsia="Calibri" w:hAnsi="Calibri" w:cs="Calibri"/>
          <w:sz w:val="18"/>
          <w:szCs w:val="18"/>
        </w:rPr>
        <w:t xml:space="preserve">Source: </w:t>
      </w:r>
      <w:r w:rsidR="001A5152">
        <w:rPr>
          <w:rFonts w:ascii="Calibri" w:eastAsia="Calibri" w:hAnsi="Calibri" w:cs="Calibri"/>
          <w:sz w:val="18"/>
          <w:szCs w:val="18"/>
        </w:rPr>
        <w:t>FGCU Environmental Health and Safety</w:t>
      </w:r>
    </w:p>
    <w:p w14:paraId="767E7E6D" w14:textId="787E0EFC" w:rsidR="0063140C" w:rsidRDefault="00E27530" w:rsidP="00837E7B">
      <w:pPr>
        <w:tabs>
          <w:tab w:val="left" w:pos="0"/>
        </w:tabs>
        <w:rPr>
          <w:rFonts w:ascii="Calibri" w:eastAsia="Calibri" w:hAnsi="Calibri" w:cs="Calibri"/>
          <w:sz w:val="24"/>
          <w:szCs w:val="24"/>
        </w:rPr>
      </w:pPr>
      <w:r w:rsidRPr="00E27530">
        <w:rPr>
          <w:rFonts w:ascii="Calibri" w:eastAsia="Calibri" w:hAnsi="Calibri" w:cs="Calibri"/>
          <w:sz w:val="24"/>
          <w:szCs w:val="24"/>
        </w:rPr>
        <w:t xml:space="preserve">FGCU excelled </w:t>
      </w:r>
      <w:r w:rsidR="004F4E3E">
        <w:rPr>
          <w:rFonts w:ascii="Calibri" w:eastAsia="Calibri" w:hAnsi="Calibri" w:cs="Calibri"/>
          <w:sz w:val="24"/>
          <w:szCs w:val="24"/>
        </w:rPr>
        <w:t xml:space="preserve">nationally </w:t>
      </w:r>
      <w:r w:rsidRPr="00E27530">
        <w:rPr>
          <w:rFonts w:ascii="Calibri" w:eastAsia="Calibri" w:hAnsi="Calibri" w:cs="Calibri"/>
          <w:sz w:val="24"/>
          <w:szCs w:val="24"/>
        </w:rPr>
        <w:t xml:space="preserve">in the Academic and Engagement areas of the STARS report thanks to the number of courses and research including sustainability, formally adopted sustainability program learning outcomes, campus outreach campaigns, service learning, and community </w:t>
      </w:r>
      <w:r w:rsidRPr="00E27530">
        <w:rPr>
          <w:rFonts w:ascii="Calibri" w:eastAsia="Calibri" w:hAnsi="Calibri" w:cs="Calibri"/>
          <w:sz w:val="24"/>
          <w:szCs w:val="24"/>
        </w:rPr>
        <w:lastRenderedPageBreak/>
        <w:t>partnerships.  FGCU scored moderately well in Operations and Planning &amp; Administration sections due</w:t>
      </w:r>
      <w:r w:rsidR="00BA5287">
        <w:rPr>
          <w:rFonts w:ascii="Calibri" w:eastAsia="Calibri" w:hAnsi="Calibri" w:cs="Calibri"/>
          <w:sz w:val="24"/>
          <w:szCs w:val="24"/>
        </w:rPr>
        <w:t xml:space="preserve"> to the efficient use of energy;</w:t>
      </w:r>
      <w:r w:rsidRPr="00E27530">
        <w:rPr>
          <w:rFonts w:ascii="Calibri" w:eastAsia="Calibri" w:hAnsi="Calibri" w:cs="Calibri"/>
          <w:sz w:val="24"/>
          <w:szCs w:val="24"/>
        </w:rPr>
        <w:t xml:space="preserve"> progressiv</w:t>
      </w:r>
      <w:r w:rsidR="00BA5287">
        <w:rPr>
          <w:rFonts w:ascii="Calibri" w:eastAsia="Calibri" w:hAnsi="Calibri" w:cs="Calibri"/>
          <w:sz w:val="24"/>
          <w:szCs w:val="24"/>
        </w:rPr>
        <w:t>e landscape management planning;</w:t>
      </w:r>
      <w:r w:rsidRPr="00E27530">
        <w:rPr>
          <w:rFonts w:ascii="Calibri" w:eastAsia="Calibri" w:hAnsi="Calibri" w:cs="Calibri"/>
          <w:sz w:val="24"/>
          <w:szCs w:val="24"/>
        </w:rPr>
        <w:t xml:space="preserve"> assessment </w:t>
      </w:r>
      <w:r w:rsidR="00BA5287">
        <w:rPr>
          <w:rFonts w:ascii="Calibri" w:eastAsia="Calibri" w:hAnsi="Calibri" w:cs="Calibri"/>
          <w:sz w:val="24"/>
          <w:szCs w:val="24"/>
        </w:rPr>
        <w:t>of campus biodiversity; waste reduction efforts;</w:t>
      </w:r>
      <w:r w:rsidRPr="00E27530">
        <w:rPr>
          <w:rFonts w:ascii="Calibri" w:eastAsia="Calibri" w:hAnsi="Calibri" w:cs="Calibri"/>
          <w:sz w:val="24"/>
          <w:szCs w:val="24"/>
        </w:rPr>
        <w:t xml:space="preserve"> and commitment to diversity, affordability, and shared governance.</w:t>
      </w:r>
      <w:r w:rsidR="004F4E3E">
        <w:rPr>
          <w:rFonts w:ascii="Calibri" w:eastAsia="Calibri" w:hAnsi="Calibri" w:cs="Calibri"/>
          <w:sz w:val="24"/>
          <w:szCs w:val="24"/>
        </w:rPr>
        <w:t xml:space="preserve"> </w:t>
      </w:r>
      <w:r w:rsidR="004F4E3E" w:rsidRPr="004F4E3E">
        <w:rPr>
          <w:rFonts w:ascii="Calibri" w:eastAsia="Calibri" w:hAnsi="Calibri" w:cs="Calibri"/>
          <w:sz w:val="24"/>
          <w:szCs w:val="24"/>
        </w:rPr>
        <w:t xml:space="preserve">We continue the successful implementation of our signature course on sustainability, IDS 3920 </w:t>
      </w:r>
      <w:r w:rsidR="004F4E3E" w:rsidRPr="007F025E">
        <w:rPr>
          <w:rFonts w:ascii="Calibri" w:eastAsia="Calibri" w:hAnsi="Calibri" w:cs="Calibri"/>
          <w:i/>
          <w:sz w:val="24"/>
          <w:szCs w:val="24"/>
        </w:rPr>
        <w:t>University Colloquium:  A Sustainable Future</w:t>
      </w:r>
      <w:r w:rsidR="004F4E3E" w:rsidRPr="004F4E3E">
        <w:rPr>
          <w:rFonts w:ascii="Calibri" w:eastAsia="Calibri" w:hAnsi="Calibri" w:cs="Calibri"/>
          <w:sz w:val="24"/>
          <w:szCs w:val="24"/>
        </w:rPr>
        <w:t xml:space="preserve"> integrated as a requirement for all of the undergraduate programs.  Students explore issues related to their own ecological perspective and sense of place and explore social, historical, economic, ecological, environmental, and political contexts of sustainability. The campus uniquely situated on conservation lands is a valuable resource as a learning laboratory, faculty regularly conduct classes and research throughout our campus wetlands and trails engaging students in hands-on </w:t>
      </w:r>
      <w:r w:rsidR="00CB7CBF">
        <w:rPr>
          <w:rFonts w:ascii="Calibri" w:eastAsia="Calibri" w:hAnsi="Calibri" w:cs="Calibri"/>
          <w:sz w:val="24"/>
          <w:szCs w:val="24"/>
        </w:rPr>
        <w:t>Science, Technology, Engineering, and M</w:t>
      </w:r>
      <w:r w:rsidR="00CB7CBF" w:rsidRPr="00CB7CBF">
        <w:rPr>
          <w:rFonts w:ascii="Calibri" w:eastAsia="Calibri" w:hAnsi="Calibri" w:cs="Calibri"/>
          <w:sz w:val="24"/>
          <w:szCs w:val="24"/>
        </w:rPr>
        <w:t xml:space="preserve">athematics </w:t>
      </w:r>
      <w:r w:rsidR="00CB7CBF">
        <w:rPr>
          <w:rFonts w:ascii="Calibri" w:eastAsia="Calibri" w:hAnsi="Calibri" w:cs="Calibri"/>
          <w:sz w:val="24"/>
          <w:szCs w:val="24"/>
        </w:rPr>
        <w:t>(</w:t>
      </w:r>
      <w:r w:rsidR="004F4E3E" w:rsidRPr="004F4E3E">
        <w:rPr>
          <w:rFonts w:ascii="Calibri" w:eastAsia="Calibri" w:hAnsi="Calibri" w:cs="Calibri"/>
          <w:sz w:val="24"/>
          <w:szCs w:val="24"/>
        </w:rPr>
        <w:t>STEM</w:t>
      </w:r>
      <w:r w:rsidR="00CB7CBF">
        <w:rPr>
          <w:rFonts w:ascii="Calibri" w:eastAsia="Calibri" w:hAnsi="Calibri" w:cs="Calibri"/>
          <w:sz w:val="24"/>
          <w:szCs w:val="24"/>
        </w:rPr>
        <w:t>)</w:t>
      </w:r>
      <w:r w:rsidR="004F4E3E" w:rsidRPr="004F4E3E">
        <w:rPr>
          <w:rFonts w:ascii="Calibri" w:eastAsia="Calibri" w:hAnsi="Calibri" w:cs="Calibri"/>
          <w:sz w:val="24"/>
          <w:szCs w:val="24"/>
        </w:rPr>
        <w:t xml:space="preserve"> projects and experiences.  </w:t>
      </w:r>
    </w:p>
    <w:p w14:paraId="6DC504A5" w14:textId="77777777" w:rsidR="004F4C1C" w:rsidRPr="004F4C1C" w:rsidRDefault="004F4C1C" w:rsidP="00837E7B">
      <w:pPr>
        <w:tabs>
          <w:tab w:val="left" w:pos="0"/>
        </w:tabs>
        <w:rPr>
          <w:rFonts w:ascii="Calibri" w:eastAsia="Calibri" w:hAnsi="Calibri" w:cs="Calibri"/>
          <w:i/>
          <w:sz w:val="24"/>
          <w:szCs w:val="24"/>
        </w:rPr>
      </w:pPr>
      <w:r w:rsidRPr="004F4C1C">
        <w:rPr>
          <w:rFonts w:ascii="Calibri" w:eastAsia="Calibri" w:hAnsi="Calibri" w:cs="Calibri"/>
          <w:i/>
          <w:sz w:val="24"/>
          <w:szCs w:val="24"/>
        </w:rPr>
        <w:t>Student Completion</w:t>
      </w:r>
    </w:p>
    <w:p w14:paraId="3A502142" w14:textId="1CECC69F" w:rsidR="004F4C1C" w:rsidRDefault="004F4C1C" w:rsidP="00837E7B">
      <w:pPr>
        <w:tabs>
          <w:tab w:val="left" w:pos="0"/>
        </w:tabs>
        <w:rPr>
          <w:sz w:val="24"/>
          <w:szCs w:val="24"/>
        </w:rPr>
      </w:pPr>
      <w:r>
        <w:rPr>
          <w:sz w:val="24"/>
          <w:szCs w:val="24"/>
        </w:rPr>
        <w:t>Since the time of its last internal scan, FGCU has increased</w:t>
      </w:r>
      <w:r w:rsidR="004230E5">
        <w:rPr>
          <w:sz w:val="24"/>
          <w:szCs w:val="24"/>
        </w:rPr>
        <w:t xml:space="preserve"> native student</w:t>
      </w:r>
      <w:r>
        <w:rPr>
          <w:sz w:val="24"/>
          <w:szCs w:val="24"/>
        </w:rPr>
        <w:t xml:space="preserve"> 6-year graduation rates by</w:t>
      </w:r>
      <w:r w:rsidR="004230E5">
        <w:rPr>
          <w:sz w:val="24"/>
          <w:szCs w:val="24"/>
        </w:rPr>
        <w:t xml:space="preserve"> four percentage point and by eight percentage points when transfer outs who graduated from other SUS institutions are considered as well</w:t>
      </w:r>
      <w:r>
        <w:rPr>
          <w:sz w:val="24"/>
          <w:szCs w:val="24"/>
        </w:rPr>
        <w:t>.  As a stated performance-based metric, FGCU continues to engage efforts to improve this percentage on an ongoing basis.</w:t>
      </w:r>
    </w:p>
    <w:p w14:paraId="2F18A96F" w14:textId="77777777" w:rsidR="00C17380" w:rsidRDefault="00C17380" w:rsidP="00837E7B">
      <w:pPr>
        <w:tabs>
          <w:tab w:val="left" w:pos="0"/>
        </w:tabs>
        <w:rPr>
          <w:sz w:val="24"/>
          <w:szCs w:val="24"/>
        </w:rPr>
      </w:pPr>
      <w:r>
        <w:rPr>
          <w:noProof/>
        </w:rPr>
        <w:drawing>
          <wp:inline distT="0" distB="0" distL="0" distR="0" wp14:anchorId="1EC821F0" wp14:editId="3AFB50BA">
            <wp:extent cx="5185274"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004" cy="2126674"/>
                    </a:xfrm>
                    <a:prstGeom prst="rect">
                      <a:avLst/>
                    </a:prstGeom>
                  </pic:spPr>
                </pic:pic>
              </a:graphicData>
            </a:graphic>
          </wp:inline>
        </w:drawing>
      </w:r>
    </w:p>
    <w:p w14:paraId="6028D399" w14:textId="6664614A" w:rsidR="00C17380" w:rsidRPr="00856788" w:rsidRDefault="00856788" w:rsidP="00837E7B">
      <w:pPr>
        <w:tabs>
          <w:tab w:val="left" w:pos="0"/>
        </w:tabs>
        <w:rPr>
          <w:sz w:val="18"/>
          <w:szCs w:val="18"/>
        </w:rPr>
      </w:pPr>
      <w:r>
        <w:rPr>
          <w:sz w:val="18"/>
          <w:szCs w:val="18"/>
        </w:rPr>
        <w:t xml:space="preserve">Source: </w:t>
      </w:r>
      <w:r w:rsidR="001A5152">
        <w:rPr>
          <w:sz w:val="18"/>
          <w:szCs w:val="18"/>
        </w:rPr>
        <w:t>FLBOG Annual Accountability Report 2013-2014</w:t>
      </w:r>
    </w:p>
    <w:p w14:paraId="194A9157" w14:textId="77777777" w:rsidR="00231C3A" w:rsidRDefault="00231C3A" w:rsidP="00837E7B">
      <w:pPr>
        <w:tabs>
          <w:tab w:val="left" w:pos="0"/>
        </w:tabs>
        <w:rPr>
          <w:b/>
          <w:sz w:val="24"/>
          <w:szCs w:val="24"/>
        </w:rPr>
      </w:pPr>
      <w:r w:rsidRPr="00A9248F">
        <w:rPr>
          <w:b/>
          <w:sz w:val="24"/>
          <w:szCs w:val="24"/>
        </w:rPr>
        <w:t>Weaknesses</w:t>
      </w:r>
    </w:p>
    <w:p w14:paraId="5CB67AA4" w14:textId="77777777" w:rsidR="00E27530" w:rsidRPr="003473E8" w:rsidRDefault="00E27530" w:rsidP="00837E7B">
      <w:pPr>
        <w:tabs>
          <w:tab w:val="left" w:pos="0"/>
        </w:tabs>
        <w:rPr>
          <w:rFonts w:cstheme="minorHAnsi"/>
          <w:i/>
          <w:sz w:val="24"/>
          <w:szCs w:val="24"/>
        </w:rPr>
      </w:pPr>
      <w:r w:rsidRPr="003473E8">
        <w:rPr>
          <w:rFonts w:cstheme="minorHAnsi"/>
          <w:i/>
          <w:sz w:val="24"/>
          <w:szCs w:val="24"/>
        </w:rPr>
        <w:t>Operational &amp; Administrative Sustainability Performance</w:t>
      </w:r>
    </w:p>
    <w:p w14:paraId="5F8BBCB8" w14:textId="77777777" w:rsidR="00E27530" w:rsidRPr="003473E8" w:rsidRDefault="00637C5A" w:rsidP="00837E7B">
      <w:pPr>
        <w:tabs>
          <w:tab w:val="left" w:pos="0"/>
        </w:tabs>
        <w:rPr>
          <w:rFonts w:cstheme="minorHAnsi"/>
          <w:sz w:val="24"/>
          <w:szCs w:val="24"/>
        </w:rPr>
      </w:pPr>
      <w:r>
        <w:rPr>
          <w:rFonts w:cstheme="minorHAnsi"/>
          <w:sz w:val="24"/>
          <w:szCs w:val="24"/>
        </w:rPr>
        <w:t xml:space="preserve">Using sustainability to guide business decisions is a </w:t>
      </w:r>
      <w:r w:rsidR="00D42762">
        <w:rPr>
          <w:rFonts w:cstheme="minorHAnsi"/>
          <w:sz w:val="24"/>
          <w:szCs w:val="24"/>
        </w:rPr>
        <w:t>proven strategy to increase an organization’s competitive advantage.  In the sector of higher education, integrating sustainability into operations and administrative decision making is particularly</w:t>
      </w:r>
      <w:r w:rsidR="002662F9">
        <w:rPr>
          <w:rFonts w:cstheme="minorHAnsi"/>
          <w:sz w:val="24"/>
          <w:szCs w:val="24"/>
        </w:rPr>
        <w:t xml:space="preserve"> important because it drives innovation and is</w:t>
      </w:r>
      <w:r w:rsidR="00D42762">
        <w:rPr>
          <w:rFonts w:cstheme="minorHAnsi"/>
          <w:sz w:val="24"/>
          <w:szCs w:val="24"/>
        </w:rPr>
        <w:t xml:space="preserve"> linked to higher retention and graduation rates. </w:t>
      </w:r>
      <w:r w:rsidR="002662F9">
        <w:rPr>
          <w:rFonts w:cstheme="minorHAnsi"/>
          <w:sz w:val="24"/>
          <w:szCs w:val="24"/>
        </w:rPr>
        <w:t xml:space="preserve">The 2014 </w:t>
      </w:r>
      <w:r w:rsidR="002662F9">
        <w:rPr>
          <w:rFonts w:cstheme="minorHAnsi"/>
          <w:sz w:val="24"/>
          <w:szCs w:val="24"/>
        </w:rPr>
        <w:lastRenderedPageBreak/>
        <w:t xml:space="preserve">STARS report highlights areas </w:t>
      </w:r>
      <w:r w:rsidR="0015660B">
        <w:rPr>
          <w:rFonts w:cstheme="minorHAnsi"/>
          <w:sz w:val="24"/>
          <w:szCs w:val="24"/>
        </w:rPr>
        <w:t>for</w:t>
      </w:r>
      <w:r w:rsidR="002662F9">
        <w:rPr>
          <w:rFonts w:cstheme="minorHAnsi"/>
          <w:sz w:val="24"/>
          <w:szCs w:val="24"/>
        </w:rPr>
        <w:t xml:space="preserve"> improve</w:t>
      </w:r>
      <w:r w:rsidR="0015660B">
        <w:rPr>
          <w:rFonts w:cstheme="minorHAnsi"/>
          <w:sz w:val="24"/>
          <w:szCs w:val="24"/>
        </w:rPr>
        <w:t xml:space="preserve">ment, including </w:t>
      </w:r>
      <w:r w:rsidR="00E27530">
        <w:rPr>
          <w:rFonts w:cstheme="minorHAnsi"/>
          <w:sz w:val="24"/>
          <w:szCs w:val="24"/>
        </w:rPr>
        <w:t>train</w:t>
      </w:r>
      <w:r w:rsidR="0015660B">
        <w:rPr>
          <w:rFonts w:cstheme="minorHAnsi"/>
          <w:sz w:val="24"/>
          <w:szCs w:val="24"/>
        </w:rPr>
        <w:t>ing</w:t>
      </w:r>
      <w:r w:rsidR="00E27530" w:rsidRPr="00C26FBA">
        <w:rPr>
          <w:rFonts w:cstheme="minorHAnsi"/>
          <w:sz w:val="24"/>
          <w:szCs w:val="24"/>
        </w:rPr>
        <w:t xml:space="preserve"> new and existing </w:t>
      </w:r>
      <w:r w:rsidR="00E27530">
        <w:rPr>
          <w:rFonts w:cstheme="minorHAnsi"/>
          <w:sz w:val="24"/>
          <w:szCs w:val="24"/>
        </w:rPr>
        <w:t>employees</w:t>
      </w:r>
      <w:r w:rsidR="00E27530" w:rsidRPr="00C26FBA">
        <w:rPr>
          <w:rFonts w:cstheme="minorHAnsi"/>
          <w:sz w:val="24"/>
          <w:szCs w:val="24"/>
        </w:rPr>
        <w:t xml:space="preserve"> </w:t>
      </w:r>
      <w:r w:rsidR="00E27530">
        <w:rPr>
          <w:rFonts w:cstheme="minorHAnsi"/>
          <w:sz w:val="24"/>
          <w:szCs w:val="24"/>
        </w:rPr>
        <w:t xml:space="preserve">to understand </w:t>
      </w:r>
      <w:r w:rsidR="00E27530" w:rsidRPr="00C26FBA">
        <w:rPr>
          <w:rFonts w:cstheme="minorHAnsi"/>
          <w:sz w:val="24"/>
          <w:szCs w:val="24"/>
        </w:rPr>
        <w:t>the concepts of sustainability and how they relate to their daily job functions</w:t>
      </w:r>
      <w:r w:rsidR="00BA5287">
        <w:rPr>
          <w:rFonts w:cstheme="minorHAnsi"/>
          <w:sz w:val="24"/>
          <w:szCs w:val="24"/>
        </w:rPr>
        <w:t>;</w:t>
      </w:r>
      <w:r w:rsidR="00E27530">
        <w:rPr>
          <w:rFonts w:cstheme="minorHAnsi"/>
          <w:sz w:val="24"/>
          <w:szCs w:val="24"/>
        </w:rPr>
        <w:t xml:space="preserve"> implement</w:t>
      </w:r>
      <w:r w:rsidR="0015660B">
        <w:rPr>
          <w:rFonts w:cstheme="minorHAnsi"/>
          <w:sz w:val="24"/>
          <w:szCs w:val="24"/>
        </w:rPr>
        <w:t>ing</w:t>
      </w:r>
      <w:r w:rsidR="00E27530">
        <w:rPr>
          <w:rFonts w:cstheme="minorHAnsi"/>
          <w:sz w:val="24"/>
          <w:szCs w:val="24"/>
        </w:rPr>
        <w:t xml:space="preserve"> best land management and building practices</w:t>
      </w:r>
      <w:r w:rsidR="0015660B">
        <w:rPr>
          <w:rFonts w:cstheme="minorHAnsi"/>
          <w:sz w:val="24"/>
          <w:szCs w:val="24"/>
        </w:rPr>
        <w:t>; instituting</w:t>
      </w:r>
      <w:r w:rsidR="00E27530">
        <w:rPr>
          <w:rFonts w:cstheme="minorHAnsi"/>
          <w:sz w:val="24"/>
          <w:szCs w:val="24"/>
        </w:rPr>
        <w:t xml:space="preserve"> green purchasing policies</w:t>
      </w:r>
      <w:r w:rsidR="0015660B">
        <w:rPr>
          <w:rFonts w:cstheme="minorHAnsi"/>
          <w:sz w:val="24"/>
          <w:szCs w:val="24"/>
        </w:rPr>
        <w:t>; decreasing</w:t>
      </w:r>
      <w:r w:rsidR="00E27530">
        <w:rPr>
          <w:rFonts w:cstheme="minorHAnsi"/>
          <w:sz w:val="24"/>
          <w:szCs w:val="24"/>
        </w:rPr>
        <w:t xml:space="preserve"> water </w:t>
      </w:r>
      <w:r w:rsidR="0015660B">
        <w:rPr>
          <w:rFonts w:cstheme="minorHAnsi"/>
          <w:sz w:val="24"/>
          <w:szCs w:val="24"/>
        </w:rPr>
        <w:t>consumption</w:t>
      </w:r>
      <w:r w:rsidR="00E27530">
        <w:rPr>
          <w:rFonts w:cstheme="minorHAnsi"/>
          <w:sz w:val="24"/>
          <w:szCs w:val="24"/>
        </w:rPr>
        <w:t xml:space="preserve">; </w:t>
      </w:r>
      <w:r w:rsidR="002662F9">
        <w:rPr>
          <w:rFonts w:cstheme="minorHAnsi"/>
          <w:sz w:val="24"/>
          <w:szCs w:val="24"/>
        </w:rPr>
        <w:t xml:space="preserve">and </w:t>
      </w:r>
      <w:r w:rsidR="0015660B">
        <w:rPr>
          <w:rFonts w:cstheme="minorHAnsi"/>
          <w:sz w:val="24"/>
          <w:szCs w:val="24"/>
        </w:rPr>
        <w:t xml:space="preserve">integrating </w:t>
      </w:r>
      <w:r w:rsidR="00E27530">
        <w:rPr>
          <w:rFonts w:cstheme="minorHAnsi"/>
          <w:sz w:val="24"/>
          <w:szCs w:val="24"/>
        </w:rPr>
        <w:t>sustainability into the endowments.</w:t>
      </w:r>
      <w:r>
        <w:rPr>
          <w:rFonts w:cstheme="minorHAnsi"/>
          <w:sz w:val="24"/>
          <w:szCs w:val="24"/>
        </w:rPr>
        <w:t xml:space="preserve"> </w:t>
      </w:r>
    </w:p>
    <w:p w14:paraId="0ED3C234" w14:textId="77777777" w:rsidR="009E334B" w:rsidRDefault="009A1DA2" w:rsidP="00837E7B">
      <w:pPr>
        <w:tabs>
          <w:tab w:val="left" w:pos="0"/>
        </w:tabs>
        <w:rPr>
          <w:b/>
          <w:sz w:val="24"/>
          <w:szCs w:val="24"/>
        </w:rPr>
      </w:pPr>
      <w:r w:rsidRPr="00492F82">
        <w:rPr>
          <w:i/>
          <w:sz w:val="24"/>
          <w:szCs w:val="24"/>
        </w:rPr>
        <w:t>Physical facilities</w:t>
      </w:r>
    </w:p>
    <w:p w14:paraId="6CCDF2D2" w14:textId="402F58E4" w:rsidR="00876289" w:rsidRDefault="009E334B" w:rsidP="00837E7B">
      <w:pPr>
        <w:tabs>
          <w:tab w:val="left" w:pos="0"/>
        </w:tabs>
        <w:rPr>
          <w:sz w:val="24"/>
          <w:szCs w:val="24"/>
        </w:rPr>
      </w:pPr>
      <w:r w:rsidRPr="00492F82">
        <w:rPr>
          <w:sz w:val="24"/>
          <w:szCs w:val="24"/>
        </w:rPr>
        <w:t>W</w:t>
      </w:r>
      <w:r w:rsidR="009A1DA2" w:rsidRPr="00492F82">
        <w:rPr>
          <w:sz w:val="24"/>
          <w:szCs w:val="24"/>
        </w:rPr>
        <w:t xml:space="preserve">hile the </w:t>
      </w:r>
      <w:r w:rsidR="007F025E">
        <w:rPr>
          <w:sz w:val="24"/>
          <w:szCs w:val="24"/>
        </w:rPr>
        <w:t xml:space="preserve">physical </w:t>
      </w:r>
      <w:r w:rsidR="009A1DA2" w:rsidRPr="00492F82">
        <w:rPr>
          <w:sz w:val="24"/>
          <w:szCs w:val="24"/>
        </w:rPr>
        <w:t xml:space="preserve">plant is young </w:t>
      </w:r>
      <w:r w:rsidR="007F025E">
        <w:rPr>
          <w:sz w:val="24"/>
          <w:szCs w:val="24"/>
        </w:rPr>
        <w:t>and has</w:t>
      </w:r>
      <w:r w:rsidR="009A1DA2" w:rsidRPr="00492F82">
        <w:rPr>
          <w:sz w:val="24"/>
          <w:szCs w:val="24"/>
        </w:rPr>
        <w:t xml:space="preserve"> little deferred maintenance, there is a need for an additional science classroom and laboratory building </w:t>
      </w:r>
      <w:r>
        <w:rPr>
          <w:sz w:val="24"/>
          <w:szCs w:val="24"/>
        </w:rPr>
        <w:t xml:space="preserve">to support </w:t>
      </w:r>
      <w:r w:rsidR="007F025E">
        <w:rPr>
          <w:sz w:val="24"/>
          <w:szCs w:val="24"/>
        </w:rPr>
        <w:t xml:space="preserve">growing </w:t>
      </w:r>
      <w:r>
        <w:rPr>
          <w:sz w:val="24"/>
          <w:szCs w:val="24"/>
        </w:rPr>
        <w:t>instruction and research</w:t>
      </w:r>
      <w:r w:rsidR="001D3FB8">
        <w:rPr>
          <w:sz w:val="24"/>
          <w:szCs w:val="24"/>
        </w:rPr>
        <w:t>.</w:t>
      </w:r>
      <w:r w:rsidR="00876289">
        <w:rPr>
          <w:sz w:val="24"/>
          <w:szCs w:val="24"/>
        </w:rPr>
        <w:t xml:space="preserve"> </w:t>
      </w:r>
      <w:r w:rsidRPr="00492F82">
        <w:rPr>
          <w:sz w:val="24"/>
          <w:szCs w:val="24"/>
        </w:rPr>
        <w:t xml:space="preserve">Additionally, based on the recommendations of the </w:t>
      </w:r>
      <w:r w:rsidR="00BB4C42">
        <w:rPr>
          <w:sz w:val="24"/>
          <w:szCs w:val="24"/>
        </w:rPr>
        <w:t>State Plant Survey T</w:t>
      </w:r>
      <w:r w:rsidRPr="00492F82">
        <w:rPr>
          <w:sz w:val="24"/>
          <w:szCs w:val="24"/>
        </w:rPr>
        <w:t>eam in March of 2013, there is a need for</w:t>
      </w:r>
      <w:r w:rsidR="004B7E26" w:rsidRPr="00492F82">
        <w:rPr>
          <w:sz w:val="24"/>
          <w:szCs w:val="24"/>
        </w:rPr>
        <w:t xml:space="preserve"> a campus recreation center </w:t>
      </w:r>
      <w:r w:rsidR="00D770A1">
        <w:rPr>
          <w:sz w:val="24"/>
          <w:szCs w:val="24"/>
        </w:rPr>
        <w:t>and gymnasiu</w:t>
      </w:r>
      <w:r w:rsidRPr="00492F82">
        <w:rPr>
          <w:sz w:val="24"/>
          <w:szCs w:val="24"/>
        </w:rPr>
        <w:t xml:space="preserve">m </w:t>
      </w:r>
      <w:r w:rsidR="004B7E26" w:rsidRPr="00492F82">
        <w:rPr>
          <w:sz w:val="24"/>
          <w:szCs w:val="24"/>
        </w:rPr>
        <w:t>commensurate with the size of the enrollment.</w:t>
      </w:r>
      <w:r w:rsidR="00876289">
        <w:rPr>
          <w:sz w:val="24"/>
          <w:szCs w:val="24"/>
        </w:rPr>
        <w:t xml:space="preserve"> The table below identifies the unmet square footage need</w:t>
      </w:r>
      <w:r w:rsidR="007F025E">
        <w:rPr>
          <w:sz w:val="24"/>
          <w:szCs w:val="24"/>
        </w:rPr>
        <w:t>s</w:t>
      </w:r>
      <w:r w:rsidR="00876289">
        <w:rPr>
          <w:sz w:val="24"/>
          <w:szCs w:val="24"/>
        </w:rPr>
        <w:t xml:space="preserve"> of facilities identified through the facilities planning Campus </w:t>
      </w:r>
      <w:r w:rsidR="00E30543">
        <w:rPr>
          <w:sz w:val="24"/>
          <w:szCs w:val="24"/>
        </w:rPr>
        <w:t>Plant</w:t>
      </w:r>
      <w:r w:rsidR="00876289">
        <w:rPr>
          <w:sz w:val="24"/>
          <w:szCs w:val="24"/>
        </w:rPr>
        <w:t xml:space="preserve"> Survey conducted in 2013.</w:t>
      </w:r>
    </w:p>
    <w:p w14:paraId="33E94964" w14:textId="77777777" w:rsidR="00876289" w:rsidRDefault="00876289" w:rsidP="00837E7B">
      <w:pPr>
        <w:tabs>
          <w:tab w:val="left" w:pos="0"/>
        </w:tabs>
        <w:rPr>
          <w:sz w:val="24"/>
          <w:szCs w:val="24"/>
        </w:rPr>
      </w:pPr>
      <w:r>
        <w:rPr>
          <w:noProof/>
        </w:rPr>
        <w:drawing>
          <wp:inline distT="0" distB="0" distL="0" distR="0" wp14:anchorId="2B8954DF" wp14:editId="4E89AA21">
            <wp:extent cx="4739640" cy="3180245"/>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0577" cy="3194294"/>
                    </a:xfrm>
                    <a:prstGeom prst="rect">
                      <a:avLst/>
                    </a:prstGeom>
                  </pic:spPr>
                </pic:pic>
              </a:graphicData>
            </a:graphic>
          </wp:inline>
        </w:drawing>
      </w:r>
    </w:p>
    <w:p w14:paraId="17B158C6" w14:textId="7E7F66C2" w:rsidR="00360519" w:rsidRDefault="00876289" w:rsidP="00837E7B">
      <w:pPr>
        <w:tabs>
          <w:tab w:val="left" w:pos="0"/>
        </w:tabs>
        <w:rPr>
          <w:sz w:val="24"/>
          <w:szCs w:val="24"/>
        </w:rPr>
      </w:pPr>
      <w:r>
        <w:rPr>
          <w:sz w:val="24"/>
          <w:szCs w:val="24"/>
        </w:rPr>
        <w:t xml:space="preserve">The </w:t>
      </w:r>
      <w:r w:rsidR="00CB7CBF">
        <w:rPr>
          <w:sz w:val="24"/>
          <w:szCs w:val="24"/>
        </w:rPr>
        <w:t>University</w:t>
      </w:r>
      <w:r>
        <w:rPr>
          <w:sz w:val="24"/>
          <w:szCs w:val="24"/>
        </w:rPr>
        <w:t xml:space="preserve"> also identifies renovations to the </w:t>
      </w:r>
      <w:r w:rsidRPr="00520483">
        <w:rPr>
          <w:sz w:val="24"/>
          <w:szCs w:val="24"/>
        </w:rPr>
        <w:t>chiller plant</w:t>
      </w:r>
      <w:r>
        <w:rPr>
          <w:sz w:val="24"/>
          <w:szCs w:val="24"/>
        </w:rPr>
        <w:t xml:space="preserve"> as critical to support the overall condition of the physical facilities</w:t>
      </w:r>
      <w:r w:rsidRPr="00520483">
        <w:rPr>
          <w:sz w:val="24"/>
          <w:szCs w:val="24"/>
        </w:rPr>
        <w:t>.</w:t>
      </w:r>
      <w:r>
        <w:rPr>
          <w:sz w:val="24"/>
          <w:szCs w:val="24"/>
        </w:rPr>
        <w:t xml:space="preserve">  </w:t>
      </w:r>
    </w:p>
    <w:p w14:paraId="09A7566F" w14:textId="77777777" w:rsidR="00360519" w:rsidRPr="00492F82" w:rsidRDefault="00360519" w:rsidP="00837E7B">
      <w:pPr>
        <w:tabs>
          <w:tab w:val="left" w:pos="0"/>
        </w:tabs>
        <w:rPr>
          <w:i/>
          <w:sz w:val="24"/>
          <w:szCs w:val="24"/>
        </w:rPr>
      </w:pPr>
      <w:r w:rsidRPr="00492F82">
        <w:rPr>
          <w:i/>
          <w:sz w:val="24"/>
          <w:szCs w:val="24"/>
        </w:rPr>
        <w:t>Funding</w:t>
      </w:r>
    </w:p>
    <w:p w14:paraId="73ABA422" w14:textId="77777777" w:rsidR="0063140C" w:rsidRDefault="00876289" w:rsidP="00837E7B">
      <w:pPr>
        <w:tabs>
          <w:tab w:val="left" w:pos="0"/>
        </w:tabs>
        <w:rPr>
          <w:sz w:val="24"/>
          <w:szCs w:val="24"/>
        </w:rPr>
      </w:pPr>
      <w:r>
        <w:rPr>
          <w:sz w:val="24"/>
          <w:szCs w:val="24"/>
        </w:rPr>
        <w:t xml:space="preserve">Unfortunately, Public </w:t>
      </w:r>
      <w:r w:rsidR="00186BAD">
        <w:rPr>
          <w:sz w:val="24"/>
          <w:szCs w:val="24"/>
        </w:rPr>
        <w:t xml:space="preserve">Education </w:t>
      </w:r>
      <w:r>
        <w:rPr>
          <w:sz w:val="24"/>
          <w:szCs w:val="24"/>
        </w:rPr>
        <w:t>Capital Outlay</w:t>
      </w:r>
      <w:r w:rsidR="00186BAD">
        <w:rPr>
          <w:sz w:val="24"/>
          <w:szCs w:val="24"/>
        </w:rPr>
        <w:t xml:space="preserve"> (PECO)</w:t>
      </w:r>
      <w:r>
        <w:rPr>
          <w:sz w:val="24"/>
          <w:szCs w:val="24"/>
        </w:rPr>
        <w:t xml:space="preserve"> dollars are not expected anytime in the future.</w:t>
      </w:r>
      <w:r w:rsidR="00186BAD">
        <w:rPr>
          <w:sz w:val="24"/>
          <w:szCs w:val="24"/>
        </w:rPr>
        <w:t xml:space="preserve">  FGCU project requests for the next five years rely upon pending PECO funding, as reflected in the Five-Year Capital Improvement Plan and Legislative Budget Request excerpt from the June 17, 2014 FGCU Board of Trustees agenda item below. </w:t>
      </w:r>
      <w:r>
        <w:rPr>
          <w:sz w:val="24"/>
          <w:szCs w:val="24"/>
        </w:rPr>
        <w:t xml:space="preserve"> </w:t>
      </w:r>
    </w:p>
    <w:p w14:paraId="1AC494F4" w14:textId="77777777" w:rsidR="00876289" w:rsidRDefault="007849C9" w:rsidP="00837E7B">
      <w:pPr>
        <w:tabs>
          <w:tab w:val="left" w:pos="0"/>
        </w:tabs>
        <w:rPr>
          <w:b/>
          <w:sz w:val="24"/>
          <w:szCs w:val="24"/>
        </w:rPr>
      </w:pPr>
      <w:r>
        <w:rPr>
          <w:noProof/>
        </w:rPr>
        <w:lastRenderedPageBreak/>
        <w:drawing>
          <wp:inline distT="0" distB="0" distL="0" distR="0" wp14:anchorId="125099E5" wp14:editId="4398098D">
            <wp:extent cx="6309729" cy="3260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6319" cy="3289266"/>
                    </a:xfrm>
                    <a:prstGeom prst="rect">
                      <a:avLst/>
                    </a:prstGeom>
                  </pic:spPr>
                </pic:pic>
              </a:graphicData>
            </a:graphic>
          </wp:inline>
        </w:drawing>
      </w:r>
    </w:p>
    <w:p w14:paraId="02931E00" w14:textId="7911D95A" w:rsidR="00186BAD" w:rsidRDefault="00186BAD" w:rsidP="00837E7B">
      <w:pPr>
        <w:tabs>
          <w:tab w:val="left" w:pos="0"/>
        </w:tabs>
        <w:rPr>
          <w:sz w:val="24"/>
          <w:szCs w:val="24"/>
        </w:rPr>
      </w:pPr>
      <w:r>
        <w:rPr>
          <w:sz w:val="24"/>
          <w:szCs w:val="24"/>
        </w:rPr>
        <w:t xml:space="preserve">Without funding for additional facilities, opportunity for further growth </w:t>
      </w:r>
      <w:r w:rsidR="007F025E">
        <w:rPr>
          <w:sz w:val="24"/>
          <w:szCs w:val="24"/>
        </w:rPr>
        <w:t xml:space="preserve">is constrained.  This has resulted </w:t>
      </w:r>
      <w:r>
        <w:rPr>
          <w:sz w:val="24"/>
          <w:szCs w:val="24"/>
        </w:rPr>
        <w:t>in a</w:t>
      </w:r>
      <w:r w:rsidR="00B47F13">
        <w:rPr>
          <w:sz w:val="24"/>
          <w:szCs w:val="24"/>
        </w:rPr>
        <w:t xml:space="preserve"> less ambitious enrollment plan shown below, </w:t>
      </w:r>
      <w:r>
        <w:rPr>
          <w:sz w:val="24"/>
          <w:szCs w:val="24"/>
        </w:rPr>
        <w:t>approved by the FGCU Board of Trustees on September 16, 2014</w:t>
      </w:r>
      <w:r w:rsidR="00360519">
        <w:rPr>
          <w:sz w:val="24"/>
          <w:szCs w:val="24"/>
        </w:rPr>
        <w:t xml:space="preserve"> (original growth for in-state, undergraduate enrollment was estimated to sustain an average of 4.9% annually)</w:t>
      </w:r>
      <w:r>
        <w:rPr>
          <w:sz w:val="24"/>
          <w:szCs w:val="24"/>
        </w:rPr>
        <w:t>.</w:t>
      </w:r>
    </w:p>
    <w:p w14:paraId="60F292CE" w14:textId="77777777" w:rsidR="00186BAD" w:rsidRDefault="00360519" w:rsidP="00837E7B">
      <w:pPr>
        <w:tabs>
          <w:tab w:val="left" w:pos="0"/>
        </w:tabs>
        <w:rPr>
          <w:sz w:val="24"/>
          <w:szCs w:val="24"/>
        </w:rPr>
      </w:pPr>
      <w:r>
        <w:rPr>
          <w:noProof/>
        </w:rPr>
        <w:lastRenderedPageBreak/>
        <w:drawing>
          <wp:inline distT="0" distB="0" distL="0" distR="0" wp14:anchorId="7F3E04B8" wp14:editId="09481164">
            <wp:extent cx="5943600" cy="3829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29685"/>
                    </a:xfrm>
                    <a:prstGeom prst="rect">
                      <a:avLst/>
                    </a:prstGeom>
                  </pic:spPr>
                </pic:pic>
              </a:graphicData>
            </a:graphic>
          </wp:inline>
        </w:drawing>
      </w:r>
      <w:r>
        <w:rPr>
          <w:noProof/>
        </w:rPr>
        <w:drawing>
          <wp:inline distT="0" distB="0" distL="0" distR="0" wp14:anchorId="2CCFD743" wp14:editId="3C81E614">
            <wp:extent cx="5943600" cy="19570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57070"/>
                    </a:xfrm>
                    <a:prstGeom prst="rect">
                      <a:avLst/>
                    </a:prstGeom>
                  </pic:spPr>
                </pic:pic>
              </a:graphicData>
            </a:graphic>
          </wp:inline>
        </w:drawing>
      </w:r>
    </w:p>
    <w:p w14:paraId="349F38F0" w14:textId="75AB3AD5" w:rsidR="004F4E3E" w:rsidRPr="00B47F13" w:rsidRDefault="00B47F13" w:rsidP="00837E7B">
      <w:pPr>
        <w:tabs>
          <w:tab w:val="left" w:pos="0"/>
        </w:tabs>
        <w:rPr>
          <w:sz w:val="18"/>
          <w:szCs w:val="18"/>
        </w:rPr>
      </w:pPr>
      <w:r w:rsidRPr="00B47F13">
        <w:rPr>
          <w:sz w:val="18"/>
          <w:szCs w:val="18"/>
        </w:rPr>
        <w:t xml:space="preserve">Source: </w:t>
      </w:r>
      <w:r w:rsidR="004F4E3E" w:rsidRPr="00B47F13">
        <w:rPr>
          <w:sz w:val="18"/>
          <w:szCs w:val="18"/>
        </w:rPr>
        <w:t>Planning &amp; Institutional Performance</w:t>
      </w:r>
    </w:p>
    <w:p w14:paraId="54F6DA81" w14:textId="77777777" w:rsidR="00186BAD" w:rsidRDefault="00186BAD" w:rsidP="00837E7B">
      <w:pPr>
        <w:tabs>
          <w:tab w:val="left" w:pos="0"/>
        </w:tabs>
        <w:rPr>
          <w:sz w:val="24"/>
          <w:szCs w:val="24"/>
        </w:rPr>
      </w:pPr>
    </w:p>
    <w:p w14:paraId="1D296666" w14:textId="09735541" w:rsidR="00186BAD" w:rsidRDefault="00360519" w:rsidP="00837E7B">
      <w:pPr>
        <w:tabs>
          <w:tab w:val="left" w:pos="0"/>
        </w:tabs>
        <w:rPr>
          <w:sz w:val="24"/>
          <w:szCs w:val="24"/>
        </w:rPr>
      </w:pPr>
      <w:r>
        <w:rPr>
          <w:sz w:val="24"/>
          <w:szCs w:val="24"/>
        </w:rPr>
        <w:t xml:space="preserve">The FGCU Board of Trustees has pledged to maintain a consistent tuition and fee schedule for students for two consecutive years through Regulation FGCU-PR7.001. </w:t>
      </w:r>
      <w:r w:rsidRPr="00492F82">
        <w:rPr>
          <w:sz w:val="24"/>
          <w:szCs w:val="24"/>
        </w:rPr>
        <w:t>Tuition and fee increases in the near future seem unlikely</w:t>
      </w:r>
      <w:r w:rsidR="007F025E">
        <w:rPr>
          <w:sz w:val="24"/>
          <w:szCs w:val="24"/>
        </w:rPr>
        <w:t>, which limits the</w:t>
      </w:r>
      <w:r w:rsidRPr="00492F82">
        <w:rPr>
          <w:sz w:val="24"/>
          <w:szCs w:val="24"/>
        </w:rPr>
        <w:t xml:space="preserve"> financial revenue growth needed to support quality enhancements.</w:t>
      </w:r>
      <w:r>
        <w:rPr>
          <w:sz w:val="24"/>
          <w:szCs w:val="24"/>
        </w:rPr>
        <w:t xml:space="preserve">  For Fiscal Year 2013-2014, tuition and fees</w:t>
      </w:r>
      <w:r w:rsidR="00273F23">
        <w:rPr>
          <w:sz w:val="24"/>
          <w:szCs w:val="24"/>
        </w:rPr>
        <w:t xml:space="preserve"> contributed close to $50 million toward the FGCU overall revenues of close to $200 million.</w:t>
      </w:r>
    </w:p>
    <w:p w14:paraId="584A213C" w14:textId="77777777" w:rsidR="00273F23" w:rsidRDefault="0062733C" w:rsidP="00837E7B">
      <w:pPr>
        <w:tabs>
          <w:tab w:val="left" w:pos="0"/>
        </w:tabs>
        <w:ind w:left="720"/>
        <w:rPr>
          <w:sz w:val="24"/>
          <w:szCs w:val="24"/>
        </w:rPr>
      </w:pPr>
      <w:r>
        <w:rPr>
          <w:noProof/>
        </w:rPr>
        <w:lastRenderedPageBreak/>
        <w:drawing>
          <wp:inline distT="0" distB="0" distL="0" distR="0" wp14:anchorId="5E6464B5" wp14:editId="4C784C9E">
            <wp:extent cx="2903220" cy="209031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9916" cy="2102340"/>
                    </a:xfrm>
                    <a:prstGeom prst="rect">
                      <a:avLst/>
                    </a:prstGeom>
                  </pic:spPr>
                </pic:pic>
              </a:graphicData>
            </a:graphic>
          </wp:inline>
        </w:drawing>
      </w:r>
      <w:r>
        <w:rPr>
          <w:noProof/>
        </w:rPr>
        <w:drawing>
          <wp:inline distT="0" distB="0" distL="0" distR="0" wp14:anchorId="3E203392" wp14:editId="746750A3">
            <wp:extent cx="761941" cy="15138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8224" cy="1625663"/>
                    </a:xfrm>
                    <a:prstGeom prst="rect">
                      <a:avLst/>
                    </a:prstGeom>
                  </pic:spPr>
                </pic:pic>
              </a:graphicData>
            </a:graphic>
          </wp:inline>
        </w:drawing>
      </w:r>
    </w:p>
    <w:p w14:paraId="2EE9CDE5" w14:textId="77777777" w:rsidR="00273F23" w:rsidRPr="00003483" w:rsidRDefault="00003483" w:rsidP="00837E7B">
      <w:pPr>
        <w:tabs>
          <w:tab w:val="left" w:pos="0"/>
        </w:tabs>
        <w:ind w:left="720"/>
        <w:rPr>
          <w:sz w:val="18"/>
          <w:szCs w:val="18"/>
        </w:rPr>
      </w:pPr>
      <w:r w:rsidRPr="00003483">
        <w:rPr>
          <w:sz w:val="18"/>
          <w:szCs w:val="18"/>
        </w:rPr>
        <w:t>Excerpted from FGCU 2013-2014 Operating Budget</w:t>
      </w:r>
    </w:p>
    <w:p w14:paraId="5A8C8E86" w14:textId="77777777" w:rsidR="00003483" w:rsidRDefault="00003483" w:rsidP="00837E7B">
      <w:pPr>
        <w:tabs>
          <w:tab w:val="left" w:pos="0"/>
        </w:tabs>
        <w:rPr>
          <w:sz w:val="24"/>
          <w:szCs w:val="24"/>
        </w:rPr>
      </w:pPr>
    </w:p>
    <w:p w14:paraId="5D449DB1" w14:textId="27AF0A60" w:rsidR="00003483" w:rsidRDefault="002B1058" w:rsidP="00837E7B">
      <w:pPr>
        <w:tabs>
          <w:tab w:val="left" w:pos="0"/>
        </w:tabs>
        <w:rPr>
          <w:b/>
          <w:sz w:val="24"/>
          <w:szCs w:val="24"/>
        </w:rPr>
      </w:pPr>
      <w:r>
        <w:rPr>
          <w:sz w:val="24"/>
          <w:szCs w:val="24"/>
        </w:rPr>
        <w:t xml:space="preserve">While recent </w:t>
      </w:r>
      <w:r w:rsidR="004F4E3E">
        <w:rPr>
          <w:sz w:val="24"/>
          <w:szCs w:val="24"/>
        </w:rPr>
        <w:t xml:space="preserve">years have seen an increase of </w:t>
      </w:r>
      <w:r w:rsidR="007F025E">
        <w:rPr>
          <w:sz w:val="24"/>
          <w:szCs w:val="24"/>
        </w:rPr>
        <w:t xml:space="preserve">four </w:t>
      </w:r>
      <w:r w:rsidR="004F4E3E">
        <w:rPr>
          <w:sz w:val="24"/>
          <w:szCs w:val="24"/>
        </w:rPr>
        <w:t>percentage points</w:t>
      </w:r>
      <w:r>
        <w:rPr>
          <w:sz w:val="24"/>
          <w:szCs w:val="24"/>
        </w:rPr>
        <w:t xml:space="preserve"> in t</w:t>
      </w:r>
      <w:r w:rsidR="009A1DA2" w:rsidRPr="00492F82">
        <w:rPr>
          <w:sz w:val="24"/>
          <w:szCs w:val="24"/>
        </w:rPr>
        <w:t>he six-year graduation rate</w:t>
      </w:r>
      <w:r w:rsidR="00B47F13">
        <w:rPr>
          <w:sz w:val="24"/>
          <w:szCs w:val="24"/>
        </w:rPr>
        <w:t xml:space="preserve"> from 45% to 49% (see page 10</w:t>
      </w:r>
      <w:r>
        <w:rPr>
          <w:sz w:val="24"/>
          <w:szCs w:val="24"/>
        </w:rPr>
        <w:t xml:space="preserve">) it </w:t>
      </w:r>
      <w:r w:rsidR="009A1DA2" w:rsidRPr="00492F82">
        <w:rPr>
          <w:sz w:val="24"/>
          <w:szCs w:val="24"/>
        </w:rPr>
        <w:t>is relatively low for the State University System</w:t>
      </w:r>
      <w:r w:rsidR="00C90BB5" w:rsidRPr="00492F82">
        <w:rPr>
          <w:sz w:val="24"/>
          <w:szCs w:val="24"/>
        </w:rPr>
        <w:t xml:space="preserve">.  </w:t>
      </w:r>
      <w:r w:rsidR="00BA5287">
        <w:rPr>
          <w:sz w:val="24"/>
          <w:szCs w:val="24"/>
        </w:rPr>
        <w:t>Since t</w:t>
      </w:r>
      <w:r w:rsidR="00C90BB5" w:rsidRPr="00492F82">
        <w:rPr>
          <w:sz w:val="24"/>
          <w:szCs w:val="24"/>
        </w:rPr>
        <w:t>his metric</w:t>
      </w:r>
      <w:r w:rsidR="00BA5287">
        <w:rPr>
          <w:sz w:val="24"/>
          <w:szCs w:val="24"/>
        </w:rPr>
        <w:t>,</w:t>
      </w:r>
      <w:r w:rsidR="00C90BB5" w:rsidRPr="00492F82">
        <w:rPr>
          <w:sz w:val="24"/>
          <w:szCs w:val="24"/>
        </w:rPr>
        <w:t xml:space="preserve"> common to all universities in the State University System</w:t>
      </w:r>
      <w:r w:rsidR="00E5490A">
        <w:rPr>
          <w:sz w:val="24"/>
          <w:szCs w:val="24"/>
        </w:rPr>
        <w:t xml:space="preserve"> and also</w:t>
      </w:r>
      <w:r w:rsidR="00C90BB5" w:rsidRPr="00492F82">
        <w:rPr>
          <w:sz w:val="24"/>
          <w:szCs w:val="24"/>
        </w:rPr>
        <w:t xml:space="preserve"> is tied to performance based funding</w:t>
      </w:r>
      <w:r w:rsidR="00E5490A">
        <w:rPr>
          <w:sz w:val="24"/>
          <w:szCs w:val="24"/>
        </w:rPr>
        <w:t>,</w:t>
      </w:r>
      <w:r w:rsidR="00C90BB5" w:rsidRPr="00492F82">
        <w:rPr>
          <w:sz w:val="24"/>
          <w:szCs w:val="24"/>
        </w:rPr>
        <w:t xml:space="preserve"> efforts are </w:t>
      </w:r>
      <w:r w:rsidR="00751C3B">
        <w:rPr>
          <w:sz w:val="24"/>
          <w:szCs w:val="24"/>
        </w:rPr>
        <w:t xml:space="preserve">underway to </w:t>
      </w:r>
      <w:r w:rsidR="00C90BB5" w:rsidRPr="00492F82">
        <w:rPr>
          <w:sz w:val="24"/>
          <w:szCs w:val="24"/>
        </w:rPr>
        <w:t>address this weakness.</w:t>
      </w:r>
      <w:r w:rsidR="00F26353" w:rsidRPr="00492F82">
        <w:rPr>
          <w:sz w:val="24"/>
          <w:szCs w:val="24"/>
        </w:rPr>
        <w:t xml:space="preserve">  </w:t>
      </w:r>
      <w:r>
        <w:rPr>
          <w:sz w:val="24"/>
          <w:szCs w:val="24"/>
        </w:rPr>
        <w:t xml:space="preserve">FGCU continues to show one of the highest transfer out rates for FGCU students who ultimately earn their degree from another SUS institution. This amounted to 10 percentage points for the most recent cohort reported. </w:t>
      </w:r>
      <w:r w:rsidR="00E5490A">
        <w:rPr>
          <w:sz w:val="24"/>
          <w:szCs w:val="24"/>
        </w:rPr>
        <w:t xml:space="preserve">In other words, FGCU’s true graduation rate including the aforementioned transfer out students is nearly 60%. </w:t>
      </w:r>
      <w:r w:rsidR="00E5490A">
        <w:rPr>
          <w:noProof/>
        </w:rPr>
        <w:t xml:space="preserve"> FGCU needs to further enhance its reputation and broaden its program inventory to ensure able students persist rather than transfer out to graduate. </w:t>
      </w:r>
      <w:r w:rsidR="00724C2A" w:rsidRPr="00492F82">
        <w:rPr>
          <w:sz w:val="24"/>
          <w:szCs w:val="24"/>
        </w:rPr>
        <w:t>T</w:t>
      </w:r>
      <w:r w:rsidR="009A1DA2" w:rsidRPr="00492F82">
        <w:rPr>
          <w:sz w:val="24"/>
          <w:szCs w:val="24"/>
        </w:rPr>
        <w:t xml:space="preserve">he academic profile of </w:t>
      </w:r>
      <w:r w:rsidR="00C92898" w:rsidRPr="00492F82">
        <w:rPr>
          <w:sz w:val="24"/>
          <w:szCs w:val="24"/>
        </w:rPr>
        <w:t xml:space="preserve">incoming </w:t>
      </w:r>
      <w:r w:rsidR="00724C2A" w:rsidRPr="00492F82">
        <w:rPr>
          <w:sz w:val="24"/>
          <w:szCs w:val="24"/>
        </w:rPr>
        <w:t>First Time in College (</w:t>
      </w:r>
      <w:r w:rsidR="00C92898" w:rsidRPr="00492F82">
        <w:rPr>
          <w:sz w:val="24"/>
          <w:szCs w:val="24"/>
        </w:rPr>
        <w:t>FTIC</w:t>
      </w:r>
      <w:r w:rsidR="00724C2A" w:rsidRPr="00492F82">
        <w:rPr>
          <w:sz w:val="24"/>
          <w:szCs w:val="24"/>
        </w:rPr>
        <w:t>)</w:t>
      </w:r>
      <w:r w:rsidR="00C92898" w:rsidRPr="00492F82">
        <w:rPr>
          <w:sz w:val="24"/>
          <w:szCs w:val="24"/>
        </w:rPr>
        <w:t xml:space="preserve"> </w:t>
      </w:r>
      <w:r w:rsidR="009A1DA2" w:rsidRPr="00492F82">
        <w:rPr>
          <w:sz w:val="24"/>
          <w:szCs w:val="24"/>
        </w:rPr>
        <w:t>FGCU students</w:t>
      </w:r>
      <w:r w:rsidR="00724C2A" w:rsidRPr="00492F82">
        <w:rPr>
          <w:sz w:val="24"/>
          <w:szCs w:val="24"/>
        </w:rPr>
        <w:t>, while i</w:t>
      </w:r>
      <w:r w:rsidR="00E5490A">
        <w:rPr>
          <w:sz w:val="24"/>
          <w:szCs w:val="24"/>
        </w:rPr>
        <w:t>mproving</w:t>
      </w:r>
      <w:r w:rsidR="00724C2A" w:rsidRPr="00492F82">
        <w:rPr>
          <w:sz w:val="24"/>
          <w:szCs w:val="24"/>
        </w:rPr>
        <w:t>, is still below the average in the State University System</w:t>
      </w:r>
      <w:r w:rsidR="009A1DA2" w:rsidRPr="00492F82">
        <w:rPr>
          <w:sz w:val="24"/>
          <w:szCs w:val="24"/>
        </w:rPr>
        <w:t>.</w:t>
      </w:r>
      <w:r w:rsidR="00724C2A">
        <w:rPr>
          <w:sz w:val="24"/>
          <w:szCs w:val="24"/>
        </w:rPr>
        <w:t xml:space="preserve"> </w:t>
      </w:r>
    </w:p>
    <w:p w14:paraId="2C628889" w14:textId="77777777" w:rsidR="00A9248F" w:rsidRDefault="00A9248F" w:rsidP="00837E7B">
      <w:pPr>
        <w:tabs>
          <w:tab w:val="left" w:pos="0"/>
        </w:tabs>
        <w:rPr>
          <w:b/>
          <w:sz w:val="24"/>
          <w:szCs w:val="24"/>
        </w:rPr>
      </w:pPr>
      <w:r w:rsidRPr="00A92AB2">
        <w:rPr>
          <w:b/>
          <w:sz w:val="24"/>
          <w:szCs w:val="24"/>
        </w:rPr>
        <w:t>Opportunities</w:t>
      </w:r>
    </w:p>
    <w:p w14:paraId="5B1CC590" w14:textId="77777777" w:rsidR="006B098C" w:rsidRPr="00492F82" w:rsidRDefault="006B098C" w:rsidP="00837E7B">
      <w:pPr>
        <w:tabs>
          <w:tab w:val="left" w:pos="0"/>
        </w:tabs>
        <w:rPr>
          <w:i/>
          <w:sz w:val="24"/>
          <w:szCs w:val="24"/>
        </w:rPr>
      </w:pPr>
      <w:r>
        <w:rPr>
          <w:i/>
          <w:sz w:val="24"/>
          <w:szCs w:val="24"/>
        </w:rPr>
        <w:t>Funding and Performance</w:t>
      </w:r>
    </w:p>
    <w:p w14:paraId="79D3FE53" w14:textId="2EE85989" w:rsidR="009A1DA2" w:rsidRDefault="009A1DA2" w:rsidP="00837E7B">
      <w:pPr>
        <w:tabs>
          <w:tab w:val="left" w:pos="0"/>
        </w:tabs>
        <w:rPr>
          <w:sz w:val="24"/>
          <w:szCs w:val="24"/>
        </w:rPr>
      </w:pPr>
      <w:r w:rsidRPr="00492F82">
        <w:rPr>
          <w:sz w:val="24"/>
          <w:szCs w:val="24"/>
        </w:rPr>
        <w:t xml:space="preserve">Performance funding provides an opportunity to receive additional </w:t>
      </w:r>
      <w:r w:rsidR="004B7E26" w:rsidRPr="00492F82">
        <w:rPr>
          <w:sz w:val="24"/>
          <w:szCs w:val="24"/>
        </w:rPr>
        <w:t>revenue</w:t>
      </w:r>
      <w:r w:rsidR="00F26353">
        <w:rPr>
          <w:sz w:val="24"/>
          <w:szCs w:val="24"/>
        </w:rPr>
        <w:t xml:space="preserve">.  The Performance Based Funding Model includes 10 metrics, two of which are institution-specific.  A number of initiatives throughout the </w:t>
      </w:r>
      <w:r w:rsidR="00CB7CBF">
        <w:rPr>
          <w:sz w:val="24"/>
          <w:szCs w:val="24"/>
        </w:rPr>
        <w:t>University</w:t>
      </w:r>
      <w:r w:rsidR="00F26353">
        <w:rPr>
          <w:sz w:val="24"/>
          <w:szCs w:val="24"/>
        </w:rPr>
        <w:t xml:space="preserve"> </w:t>
      </w:r>
      <w:r w:rsidR="00F06F7F">
        <w:rPr>
          <w:sz w:val="24"/>
          <w:szCs w:val="24"/>
        </w:rPr>
        <w:t>are targeted</w:t>
      </w:r>
      <w:r w:rsidR="00F26353">
        <w:rPr>
          <w:sz w:val="24"/>
          <w:szCs w:val="24"/>
        </w:rPr>
        <w:t xml:space="preserve"> to </w:t>
      </w:r>
      <w:r w:rsidR="00F06F7F">
        <w:rPr>
          <w:sz w:val="24"/>
          <w:szCs w:val="24"/>
        </w:rPr>
        <w:t>improve</w:t>
      </w:r>
      <w:r w:rsidR="00F26353">
        <w:rPr>
          <w:sz w:val="24"/>
          <w:szCs w:val="24"/>
        </w:rPr>
        <w:t xml:space="preserve"> FGCU’s performance </w:t>
      </w:r>
      <w:r w:rsidR="00F06F7F">
        <w:rPr>
          <w:sz w:val="24"/>
          <w:szCs w:val="24"/>
        </w:rPr>
        <w:t>on</w:t>
      </w:r>
      <w:r w:rsidR="00F26353">
        <w:rPr>
          <w:sz w:val="24"/>
          <w:szCs w:val="24"/>
        </w:rPr>
        <w:t xml:space="preserve"> these metrics</w:t>
      </w:r>
      <w:r w:rsidR="00F06F7F">
        <w:rPr>
          <w:sz w:val="24"/>
          <w:szCs w:val="24"/>
        </w:rPr>
        <w:t>.  Among these are the following:</w:t>
      </w:r>
      <w:r w:rsidR="00F26353">
        <w:rPr>
          <w:sz w:val="24"/>
          <w:szCs w:val="24"/>
        </w:rPr>
        <w:t xml:space="preserve"> retention programs and services</w:t>
      </w:r>
      <w:r w:rsidR="00DE65F7">
        <w:rPr>
          <w:sz w:val="24"/>
          <w:szCs w:val="24"/>
        </w:rPr>
        <w:t>;</w:t>
      </w:r>
      <w:r w:rsidR="00F26353">
        <w:rPr>
          <w:sz w:val="24"/>
          <w:szCs w:val="24"/>
        </w:rPr>
        <w:t xml:space="preserve"> profes</w:t>
      </w:r>
      <w:r w:rsidR="00751C3B">
        <w:rPr>
          <w:sz w:val="24"/>
          <w:szCs w:val="24"/>
        </w:rPr>
        <w:t>sional development</w:t>
      </w:r>
      <w:r w:rsidR="00DE65F7">
        <w:rPr>
          <w:sz w:val="24"/>
          <w:szCs w:val="24"/>
        </w:rPr>
        <w:t>;</w:t>
      </w:r>
      <w:r w:rsidR="00751C3B">
        <w:rPr>
          <w:sz w:val="24"/>
          <w:szCs w:val="24"/>
        </w:rPr>
        <w:t xml:space="preserve"> the faculty-</w:t>
      </w:r>
      <w:r w:rsidR="00F26353">
        <w:rPr>
          <w:sz w:val="24"/>
          <w:szCs w:val="24"/>
        </w:rPr>
        <w:t>developed Quality Enhancement Plan</w:t>
      </w:r>
      <w:r w:rsidR="00CB7CBF">
        <w:rPr>
          <w:sz w:val="24"/>
          <w:szCs w:val="24"/>
        </w:rPr>
        <w:t xml:space="preserve"> (QEP)</w:t>
      </w:r>
      <w:r w:rsidR="00F26353">
        <w:rPr>
          <w:sz w:val="24"/>
          <w:szCs w:val="24"/>
        </w:rPr>
        <w:t xml:space="preserve"> t</w:t>
      </w:r>
      <w:r w:rsidR="00B416F5">
        <w:rPr>
          <w:sz w:val="24"/>
          <w:szCs w:val="24"/>
        </w:rPr>
        <w:t>o improve student learning</w:t>
      </w:r>
      <w:r w:rsidR="00DE65F7">
        <w:rPr>
          <w:sz w:val="24"/>
          <w:szCs w:val="24"/>
        </w:rPr>
        <w:t>;</w:t>
      </w:r>
      <w:r w:rsidR="00B416F5">
        <w:rPr>
          <w:sz w:val="24"/>
          <w:szCs w:val="24"/>
        </w:rPr>
        <w:t xml:space="preserve"> </w:t>
      </w:r>
      <w:r w:rsidR="00F26353">
        <w:rPr>
          <w:sz w:val="24"/>
          <w:szCs w:val="24"/>
        </w:rPr>
        <w:t>support services</w:t>
      </w:r>
      <w:r w:rsidR="00DE65F7">
        <w:rPr>
          <w:sz w:val="24"/>
          <w:szCs w:val="24"/>
        </w:rPr>
        <w:t>;</w:t>
      </w:r>
      <w:r w:rsidR="00B416F5">
        <w:rPr>
          <w:sz w:val="24"/>
          <w:szCs w:val="24"/>
        </w:rPr>
        <w:t xml:space="preserve"> and data management standards to </w:t>
      </w:r>
      <w:r w:rsidR="00DE65F7">
        <w:rPr>
          <w:sz w:val="24"/>
          <w:szCs w:val="24"/>
        </w:rPr>
        <w:t>enhance</w:t>
      </w:r>
      <w:r w:rsidR="00B416F5">
        <w:rPr>
          <w:sz w:val="24"/>
          <w:szCs w:val="24"/>
        </w:rPr>
        <w:t xml:space="preserve"> operational efficiencies</w:t>
      </w:r>
      <w:r w:rsidR="00F26353">
        <w:rPr>
          <w:sz w:val="24"/>
          <w:szCs w:val="24"/>
        </w:rPr>
        <w:t>.</w:t>
      </w:r>
      <w:r w:rsidR="00724C2A">
        <w:rPr>
          <w:sz w:val="24"/>
          <w:szCs w:val="24"/>
        </w:rPr>
        <w:t xml:space="preserve">  The performance funding allocated to FGCU in 20</w:t>
      </w:r>
      <w:r w:rsidR="001A7106">
        <w:rPr>
          <w:sz w:val="24"/>
          <w:szCs w:val="24"/>
        </w:rPr>
        <w:t>14-2015 amounted to $8.1 million, of which $5.9 million was added to the budget</w:t>
      </w:r>
      <w:r w:rsidR="00F06F7F">
        <w:rPr>
          <w:sz w:val="24"/>
          <w:szCs w:val="24"/>
        </w:rPr>
        <w:t xml:space="preserve"> on a recurring basis</w:t>
      </w:r>
      <w:r w:rsidR="00724C2A">
        <w:rPr>
          <w:sz w:val="24"/>
          <w:szCs w:val="24"/>
        </w:rPr>
        <w:t>.</w:t>
      </w:r>
    </w:p>
    <w:p w14:paraId="54D0AE43" w14:textId="77777777" w:rsidR="00724C2A" w:rsidRPr="00492F82" w:rsidRDefault="00724C2A" w:rsidP="00837E7B">
      <w:pPr>
        <w:tabs>
          <w:tab w:val="left" w:pos="0"/>
        </w:tabs>
        <w:rPr>
          <w:sz w:val="24"/>
          <w:szCs w:val="24"/>
        </w:rPr>
      </w:pPr>
      <w:r>
        <w:rPr>
          <w:noProof/>
        </w:rPr>
        <w:lastRenderedPageBreak/>
        <w:drawing>
          <wp:inline distT="0" distB="0" distL="0" distR="0" wp14:anchorId="3A8D6CEF" wp14:editId="5E98E011">
            <wp:extent cx="5943600" cy="3127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27375"/>
                    </a:xfrm>
                    <a:prstGeom prst="rect">
                      <a:avLst/>
                    </a:prstGeom>
                  </pic:spPr>
                </pic:pic>
              </a:graphicData>
            </a:graphic>
          </wp:inline>
        </w:drawing>
      </w:r>
    </w:p>
    <w:p w14:paraId="64BA20C5" w14:textId="75C64B80" w:rsidR="004B7E26" w:rsidRDefault="005F285A" w:rsidP="00837E7B">
      <w:pPr>
        <w:tabs>
          <w:tab w:val="left" w:pos="0"/>
        </w:tabs>
        <w:rPr>
          <w:b/>
          <w:sz w:val="24"/>
          <w:szCs w:val="24"/>
        </w:rPr>
      </w:pPr>
      <w:r>
        <w:rPr>
          <w:b/>
          <w:sz w:val="24"/>
          <w:szCs w:val="24"/>
        </w:rPr>
        <w:t xml:space="preserve"> </w:t>
      </w:r>
      <w:r w:rsidR="004D6B8A">
        <w:rPr>
          <w:b/>
          <w:sz w:val="24"/>
          <w:szCs w:val="24"/>
        </w:rPr>
        <w:t xml:space="preserve">     </w:t>
      </w:r>
    </w:p>
    <w:p w14:paraId="53881D00" w14:textId="77777777" w:rsidR="006B098C" w:rsidRDefault="006B098C" w:rsidP="00837E7B">
      <w:pPr>
        <w:tabs>
          <w:tab w:val="left" w:pos="0"/>
        </w:tabs>
        <w:autoSpaceDE w:val="0"/>
        <w:autoSpaceDN w:val="0"/>
        <w:adjustRightInd w:val="0"/>
        <w:spacing w:after="0" w:line="240" w:lineRule="auto"/>
        <w:rPr>
          <w:rFonts w:cstheme="minorHAnsi"/>
          <w:i/>
          <w:sz w:val="24"/>
          <w:szCs w:val="24"/>
        </w:rPr>
      </w:pPr>
      <w:r w:rsidRPr="00492F82">
        <w:rPr>
          <w:rFonts w:cstheme="minorHAnsi"/>
          <w:i/>
          <w:sz w:val="24"/>
          <w:szCs w:val="24"/>
        </w:rPr>
        <w:t>Facilities</w:t>
      </w:r>
    </w:p>
    <w:p w14:paraId="27CD775F" w14:textId="77777777" w:rsidR="006B098C" w:rsidRPr="00492F82" w:rsidRDefault="006B098C" w:rsidP="00837E7B">
      <w:pPr>
        <w:tabs>
          <w:tab w:val="left" w:pos="0"/>
        </w:tabs>
        <w:autoSpaceDE w:val="0"/>
        <w:autoSpaceDN w:val="0"/>
        <w:adjustRightInd w:val="0"/>
        <w:spacing w:after="0" w:line="240" w:lineRule="auto"/>
        <w:rPr>
          <w:rFonts w:cstheme="minorHAnsi"/>
          <w:i/>
          <w:sz w:val="24"/>
          <w:szCs w:val="24"/>
        </w:rPr>
      </w:pPr>
    </w:p>
    <w:p w14:paraId="10694058" w14:textId="6710A30E" w:rsidR="004B7E26" w:rsidRPr="0063140C" w:rsidRDefault="00582C87" w:rsidP="00837E7B">
      <w:pPr>
        <w:tabs>
          <w:tab w:val="left" w:pos="0"/>
        </w:tabs>
        <w:rPr>
          <w:sz w:val="24"/>
          <w:szCs w:val="24"/>
        </w:rPr>
      </w:pPr>
      <w:r w:rsidRPr="0063140C">
        <w:rPr>
          <w:sz w:val="24"/>
          <w:szCs w:val="24"/>
        </w:rPr>
        <w:t xml:space="preserve">The </w:t>
      </w:r>
      <w:r w:rsidR="004B7E26" w:rsidRPr="0063140C">
        <w:rPr>
          <w:sz w:val="24"/>
          <w:szCs w:val="24"/>
        </w:rPr>
        <w:t>Campus Master Plan</w:t>
      </w:r>
      <w:r w:rsidRPr="0063140C">
        <w:rPr>
          <w:sz w:val="24"/>
          <w:szCs w:val="24"/>
        </w:rPr>
        <w:t xml:space="preserve"> outlines the components for future land use, goals, objectives, and opportunities.  </w:t>
      </w:r>
      <w:r w:rsidR="006B098C" w:rsidRPr="0063140C">
        <w:rPr>
          <w:sz w:val="24"/>
          <w:szCs w:val="24"/>
        </w:rPr>
        <w:t xml:space="preserve">Through 2020, the plan projects the campus core will continue to include academic functions, the library, and student services and other support functions. The southeast district will contain student housing and dining, recreation and parking facilities. The northwest district will contain research or other mixed-use facilities and associated parking. The north lakefront parcel is considered to be largely built-out, so development of this area is likely to be limited to expanded athletic facilities. The southwest district </w:t>
      </w:r>
      <w:r w:rsidR="00081A3A">
        <w:rPr>
          <w:sz w:val="24"/>
          <w:szCs w:val="24"/>
        </w:rPr>
        <w:t>will</w:t>
      </w:r>
      <w:r w:rsidR="006B098C" w:rsidRPr="0063140C">
        <w:rPr>
          <w:sz w:val="24"/>
          <w:szCs w:val="24"/>
        </w:rPr>
        <w:t xml:space="preserve"> continue to be developed with small facilities largely serving outreach functions of the </w:t>
      </w:r>
      <w:r w:rsidR="00CB7CBF">
        <w:rPr>
          <w:sz w:val="24"/>
          <w:szCs w:val="24"/>
        </w:rPr>
        <w:t>University</w:t>
      </w:r>
      <w:r w:rsidR="006B098C" w:rsidRPr="0063140C">
        <w:rPr>
          <w:sz w:val="24"/>
          <w:szCs w:val="24"/>
        </w:rPr>
        <w:t xml:space="preserve">. The </w:t>
      </w:r>
      <w:r w:rsidR="00CB7CBF">
        <w:rPr>
          <w:sz w:val="24"/>
          <w:szCs w:val="24"/>
        </w:rPr>
        <w:t>University</w:t>
      </w:r>
      <w:r w:rsidR="006B098C" w:rsidRPr="0063140C">
        <w:rPr>
          <w:sz w:val="24"/>
          <w:szCs w:val="24"/>
        </w:rPr>
        <w:t xml:space="preserve"> </w:t>
      </w:r>
      <w:r w:rsidR="00081A3A">
        <w:rPr>
          <w:sz w:val="24"/>
          <w:szCs w:val="24"/>
        </w:rPr>
        <w:t>will</w:t>
      </w:r>
      <w:r w:rsidR="006B098C" w:rsidRPr="0063140C">
        <w:rPr>
          <w:sz w:val="24"/>
          <w:szCs w:val="24"/>
        </w:rPr>
        <w:t xml:space="preserve"> seek to acquire off-campus lands when necessary to meet the needs of academic, housing, recreation, support or ancillary </w:t>
      </w:r>
      <w:r w:rsidR="00A95A8F">
        <w:rPr>
          <w:sz w:val="24"/>
          <w:szCs w:val="24"/>
        </w:rPr>
        <w:t>units</w:t>
      </w:r>
      <w:r w:rsidR="006B098C" w:rsidRPr="0063140C">
        <w:rPr>
          <w:sz w:val="24"/>
          <w:szCs w:val="24"/>
        </w:rPr>
        <w:t xml:space="preserve">.  </w:t>
      </w:r>
    </w:p>
    <w:p w14:paraId="3A8E4857" w14:textId="77777777" w:rsidR="00DE6AEE" w:rsidRDefault="006B098C" w:rsidP="00837E7B">
      <w:pPr>
        <w:tabs>
          <w:tab w:val="left" w:pos="0"/>
        </w:tabs>
        <w:rPr>
          <w:color w:val="000000"/>
          <w:sz w:val="24"/>
          <w:szCs w:val="24"/>
        </w:rPr>
      </w:pPr>
      <w:r w:rsidRPr="0063140C">
        <w:rPr>
          <w:color w:val="000000"/>
          <w:sz w:val="24"/>
          <w:szCs w:val="24"/>
        </w:rPr>
        <w:t xml:space="preserve">For fiscal year 2014-2015, FGCU was awarded $7 million </w:t>
      </w:r>
      <w:r w:rsidR="00A95A8F">
        <w:rPr>
          <w:color w:val="000000"/>
          <w:sz w:val="24"/>
          <w:szCs w:val="24"/>
        </w:rPr>
        <w:t>to complete construction of the</w:t>
      </w:r>
      <w:r w:rsidRPr="0063140C">
        <w:rPr>
          <w:color w:val="000000"/>
          <w:sz w:val="24"/>
          <w:szCs w:val="24"/>
        </w:rPr>
        <w:t xml:space="preserve"> </w:t>
      </w:r>
      <w:r w:rsidR="00A95A8F">
        <w:rPr>
          <w:color w:val="000000"/>
          <w:sz w:val="24"/>
          <w:szCs w:val="24"/>
        </w:rPr>
        <w:t xml:space="preserve">$12.5 million </w:t>
      </w:r>
      <w:r w:rsidRPr="0063140C">
        <w:rPr>
          <w:color w:val="000000"/>
          <w:sz w:val="24"/>
          <w:szCs w:val="24"/>
        </w:rPr>
        <w:t>Emergent Technologies Institute</w:t>
      </w:r>
      <w:r w:rsidR="000A2BFA">
        <w:rPr>
          <w:color w:val="000000"/>
          <w:sz w:val="24"/>
          <w:szCs w:val="24"/>
        </w:rPr>
        <w:t xml:space="preserve"> (ETI), form</w:t>
      </w:r>
      <w:r w:rsidR="004F4E3E">
        <w:rPr>
          <w:color w:val="000000"/>
          <w:sz w:val="24"/>
          <w:szCs w:val="24"/>
        </w:rPr>
        <w:t>er</w:t>
      </w:r>
      <w:r w:rsidR="000A2BFA">
        <w:rPr>
          <w:color w:val="000000"/>
          <w:sz w:val="24"/>
          <w:szCs w:val="24"/>
        </w:rPr>
        <w:t xml:space="preserve">ly known as the </w:t>
      </w:r>
      <w:r w:rsidR="000A2BFA" w:rsidRPr="0063140C">
        <w:rPr>
          <w:color w:val="000000"/>
          <w:sz w:val="24"/>
          <w:szCs w:val="24"/>
        </w:rPr>
        <w:t>Innovation Hub Research and Development Park</w:t>
      </w:r>
      <w:r w:rsidR="00CB7CBF">
        <w:rPr>
          <w:color w:val="000000"/>
          <w:sz w:val="24"/>
          <w:szCs w:val="24"/>
        </w:rPr>
        <w:t xml:space="preserve"> (I-HUB)</w:t>
      </w:r>
      <w:r w:rsidRPr="0063140C">
        <w:rPr>
          <w:color w:val="000000"/>
          <w:sz w:val="24"/>
          <w:szCs w:val="24"/>
        </w:rPr>
        <w:t xml:space="preserve">. The </w:t>
      </w:r>
      <w:r w:rsidR="000A2BFA">
        <w:rPr>
          <w:color w:val="000000"/>
          <w:sz w:val="24"/>
          <w:szCs w:val="24"/>
        </w:rPr>
        <w:t xml:space="preserve">ETI </w:t>
      </w:r>
      <w:r w:rsidRPr="0063140C">
        <w:rPr>
          <w:color w:val="000000"/>
          <w:sz w:val="24"/>
          <w:szCs w:val="24"/>
        </w:rPr>
        <w:t>will attract multiple businesses and corporations in the areas of renewable energy and sustainable enviro</w:t>
      </w:r>
      <w:r w:rsidR="00A95A8F">
        <w:rPr>
          <w:color w:val="000000"/>
          <w:sz w:val="24"/>
          <w:szCs w:val="24"/>
        </w:rPr>
        <w:t>nmental practices and technologies</w:t>
      </w:r>
      <w:r w:rsidRPr="0063140C">
        <w:rPr>
          <w:color w:val="000000"/>
          <w:sz w:val="24"/>
          <w:szCs w:val="24"/>
        </w:rPr>
        <w:t xml:space="preserve">. The entire research park will be built </w:t>
      </w:r>
      <w:r w:rsidR="00A95A8F">
        <w:rPr>
          <w:color w:val="000000"/>
          <w:sz w:val="24"/>
          <w:szCs w:val="24"/>
        </w:rPr>
        <w:t>using</w:t>
      </w:r>
      <w:r w:rsidRPr="0063140C">
        <w:rPr>
          <w:color w:val="000000"/>
          <w:sz w:val="24"/>
          <w:szCs w:val="24"/>
        </w:rPr>
        <w:t xml:space="preserve"> sustainable practices related to power generation, water </w:t>
      </w:r>
      <w:r w:rsidR="00A95A8F">
        <w:rPr>
          <w:color w:val="000000"/>
          <w:sz w:val="24"/>
          <w:szCs w:val="24"/>
        </w:rPr>
        <w:t xml:space="preserve">runoff </w:t>
      </w:r>
      <w:r w:rsidRPr="0063140C">
        <w:rPr>
          <w:color w:val="000000"/>
          <w:sz w:val="24"/>
          <w:szCs w:val="24"/>
        </w:rPr>
        <w:t xml:space="preserve">control, efficient building design and </w:t>
      </w:r>
      <w:r w:rsidR="00A95A8F">
        <w:rPr>
          <w:color w:val="000000"/>
          <w:sz w:val="24"/>
          <w:szCs w:val="24"/>
        </w:rPr>
        <w:t xml:space="preserve">overall </w:t>
      </w:r>
      <w:r w:rsidRPr="0063140C">
        <w:rPr>
          <w:color w:val="000000"/>
          <w:sz w:val="24"/>
          <w:szCs w:val="24"/>
        </w:rPr>
        <w:t xml:space="preserve">sustainability. </w:t>
      </w:r>
      <w:r w:rsidR="00F06F7F" w:rsidRPr="0063140C">
        <w:rPr>
          <w:sz w:val="24"/>
          <w:szCs w:val="24"/>
        </w:rPr>
        <w:t>As a manifestation of its environmentally focused mission, t</w:t>
      </w:r>
      <w:r w:rsidRPr="0063140C">
        <w:rPr>
          <w:color w:val="000000"/>
          <w:sz w:val="24"/>
          <w:szCs w:val="24"/>
        </w:rPr>
        <w:t>his project will benefit the State</w:t>
      </w:r>
      <w:r w:rsidR="00F06F7F" w:rsidRPr="0063140C">
        <w:rPr>
          <w:sz w:val="24"/>
          <w:szCs w:val="24"/>
        </w:rPr>
        <w:t>,</w:t>
      </w:r>
      <w:r w:rsidRPr="0063140C">
        <w:rPr>
          <w:color w:val="000000"/>
          <w:sz w:val="24"/>
          <w:szCs w:val="24"/>
        </w:rPr>
        <w:t xml:space="preserve"> and particularly Southwest Florida</w:t>
      </w:r>
      <w:r w:rsidR="00F06F7F" w:rsidRPr="0063140C">
        <w:rPr>
          <w:sz w:val="24"/>
          <w:szCs w:val="24"/>
        </w:rPr>
        <w:t>,</w:t>
      </w:r>
      <w:r w:rsidRPr="0063140C">
        <w:rPr>
          <w:color w:val="000000"/>
          <w:sz w:val="24"/>
          <w:szCs w:val="24"/>
        </w:rPr>
        <w:t xml:space="preserve"> as it diversifies the economic development of the region by focusing on research opportunities in fields associated with renewable energy</w:t>
      </w:r>
      <w:r w:rsidR="00DE6AEE">
        <w:rPr>
          <w:color w:val="000000"/>
          <w:sz w:val="24"/>
          <w:szCs w:val="24"/>
        </w:rPr>
        <w:t xml:space="preserve"> and sustainability</w:t>
      </w:r>
      <w:r w:rsidRPr="0063140C">
        <w:rPr>
          <w:color w:val="000000"/>
          <w:sz w:val="24"/>
          <w:szCs w:val="24"/>
        </w:rPr>
        <w:t xml:space="preserve">. The project will also </w:t>
      </w:r>
      <w:r w:rsidRPr="0063140C">
        <w:rPr>
          <w:color w:val="000000"/>
          <w:sz w:val="24"/>
          <w:szCs w:val="24"/>
        </w:rPr>
        <w:lastRenderedPageBreak/>
        <w:t xml:space="preserve">expand the economic potential of Southwest Florida through further economic diversification beyond the major three-prong base of tourism, health services, and construction. </w:t>
      </w:r>
    </w:p>
    <w:p w14:paraId="25590A19" w14:textId="77777777" w:rsidR="00DE6AEE" w:rsidRDefault="006B098C" w:rsidP="00837E7B">
      <w:pPr>
        <w:tabs>
          <w:tab w:val="left" w:pos="0"/>
        </w:tabs>
        <w:rPr>
          <w:sz w:val="24"/>
          <w:szCs w:val="24"/>
        </w:rPr>
      </w:pPr>
      <w:r w:rsidRPr="0063140C">
        <w:rPr>
          <w:color w:val="000000"/>
          <w:sz w:val="24"/>
          <w:szCs w:val="24"/>
        </w:rPr>
        <w:t xml:space="preserve">FGCU </w:t>
      </w:r>
      <w:r w:rsidR="004F4E3E">
        <w:rPr>
          <w:color w:val="000000"/>
          <w:sz w:val="24"/>
          <w:szCs w:val="24"/>
        </w:rPr>
        <w:t>plans to</w:t>
      </w:r>
      <w:r w:rsidRPr="0063140C">
        <w:rPr>
          <w:color w:val="000000"/>
          <w:sz w:val="24"/>
          <w:szCs w:val="24"/>
        </w:rPr>
        <w:t xml:space="preserve"> construct </w:t>
      </w:r>
      <w:r w:rsidR="00DE6AEE">
        <w:rPr>
          <w:color w:val="000000"/>
          <w:sz w:val="24"/>
          <w:szCs w:val="24"/>
        </w:rPr>
        <w:t>the</w:t>
      </w:r>
      <w:r w:rsidRPr="0063140C">
        <w:rPr>
          <w:color w:val="000000"/>
          <w:sz w:val="24"/>
          <w:szCs w:val="24"/>
        </w:rPr>
        <w:t xml:space="preserve"> 24,600 gross sq. ft. </w:t>
      </w:r>
      <w:r w:rsidR="00DE6AEE">
        <w:rPr>
          <w:color w:val="000000"/>
          <w:sz w:val="24"/>
          <w:szCs w:val="24"/>
        </w:rPr>
        <w:t>ETI</w:t>
      </w:r>
      <w:r w:rsidRPr="0063140C">
        <w:rPr>
          <w:color w:val="000000"/>
          <w:sz w:val="24"/>
          <w:szCs w:val="24"/>
        </w:rPr>
        <w:t xml:space="preserve"> on a 6.5</w:t>
      </w:r>
      <w:r w:rsidR="00F06F7F" w:rsidRPr="0063140C">
        <w:rPr>
          <w:sz w:val="24"/>
          <w:szCs w:val="24"/>
        </w:rPr>
        <w:t>-</w:t>
      </w:r>
      <w:r w:rsidRPr="0063140C">
        <w:rPr>
          <w:color w:val="000000"/>
          <w:sz w:val="24"/>
          <w:szCs w:val="24"/>
        </w:rPr>
        <w:t xml:space="preserve">acre parcel </w:t>
      </w:r>
      <w:r w:rsidR="00DE6AEE">
        <w:rPr>
          <w:color w:val="000000"/>
          <w:sz w:val="24"/>
          <w:szCs w:val="24"/>
        </w:rPr>
        <w:t>that</w:t>
      </w:r>
      <w:r w:rsidRPr="0063140C">
        <w:rPr>
          <w:color w:val="000000"/>
          <w:sz w:val="24"/>
          <w:szCs w:val="24"/>
        </w:rPr>
        <w:t xml:space="preserve"> has been donated to the </w:t>
      </w:r>
      <w:r w:rsidR="00CB7CBF">
        <w:rPr>
          <w:color w:val="000000"/>
          <w:sz w:val="24"/>
          <w:szCs w:val="24"/>
        </w:rPr>
        <w:t>University</w:t>
      </w:r>
      <w:r w:rsidRPr="0063140C">
        <w:rPr>
          <w:color w:val="000000"/>
          <w:sz w:val="24"/>
          <w:szCs w:val="24"/>
        </w:rPr>
        <w:t xml:space="preserve"> by developers. The 6.5</w:t>
      </w:r>
      <w:r w:rsidR="00F06F7F" w:rsidRPr="0063140C">
        <w:rPr>
          <w:sz w:val="24"/>
          <w:szCs w:val="24"/>
        </w:rPr>
        <w:t>-</w:t>
      </w:r>
      <w:r w:rsidRPr="0063140C">
        <w:rPr>
          <w:color w:val="000000"/>
          <w:sz w:val="24"/>
          <w:szCs w:val="24"/>
        </w:rPr>
        <w:t>acre parcel lies within a developer-owned 240</w:t>
      </w:r>
      <w:r w:rsidR="00F06F7F" w:rsidRPr="0063140C">
        <w:rPr>
          <w:sz w:val="24"/>
          <w:szCs w:val="24"/>
        </w:rPr>
        <w:t>-</w:t>
      </w:r>
      <w:r w:rsidRPr="0063140C">
        <w:rPr>
          <w:color w:val="000000"/>
          <w:sz w:val="24"/>
          <w:szCs w:val="24"/>
        </w:rPr>
        <w:t xml:space="preserve">acre tract of land to be promoted </w:t>
      </w:r>
      <w:r w:rsidR="00F06F7F" w:rsidRPr="0063140C">
        <w:rPr>
          <w:sz w:val="24"/>
          <w:szCs w:val="24"/>
        </w:rPr>
        <w:t>and</w:t>
      </w:r>
      <w:r w:rsidRPr="0063140C">
        <w:rPr>
          <w:color w:val="000000"/>
          <w:sz w:val="24"/>
          <w:szCs w:val="24"/>
        </w:rPr>
        <w:t xml:space="preserve"> developed as a research innovation hub. In keeping with the theme of the research park and the FGCU's mission, the ETI project will seek LEED Silver Certification.</w:t>
      </w:r>
      <w:r w:rsidR="00DE6AEE">
        <w:rPr>
          <w:sz w:val="24"/>
          <w:szCs w:val="24"/>
        </w:rPr>
        <w:t xml:space="preserve">  </w:t>
      </w:r>
    </w:p>
    <w:p w14:paraId="254AF95C" w14:textId="1DC04C3E" w:rsidR="006B098C" w:rsidRPr="0063140C" w:rsidRDefault="006B098C" w:rsidP="00837E7B">
      <w:pPr>
        <w:tabs>
          <w:tab w:val="left" w:pos="0"/>
        </w:tabs>
        <w:rPr>
          <w:sz w:val="24"/>
          <w:szCs w:val="24"/>
        </w:rPr>
      </w:pPr>
      <w:r w:rsidRPr="0063140C">
        <w:rPr>
          <w:sz w:val="24"/>
          <w:szCs w:val="24"/>
        </w:rPr>
        <w:t>In July 2010, FGCU received a 500-acre state property, Buckingham Complex, located approximately 15 miles from campus comprising 60 buildings totaling approximately 340,000 square feet constructed in the 1950’s and 1960’s</w:t>
      </w:r>
      <w:r w:rsidR="00DE6AEE">
        <w:rPr>
          <w:sz w:val="24"/>
          <w:szCs w:val="24"/>
        </w:rPr>
        <w:t xml:space="preserve"> as a comprehensive, residential medical campus</w:t>
      </w:r>
      <w:r w:rsidRPr="0063140C">
        <w:rPr>
          <w:sz w:val="24"/>
          <w:szCs w:val="24"/>
        </w:rPr>
        <w:t xml:space="preserve">. Conceptual master planning of this property is underway to assess how this property and its facilities can best be shaped to serve the mission of the </w:t>
      </w:r>
      <w:r w:rsidR="00CB7CBF">
        <w:rPr>
          <w:sz w:val="24"/>
          <w:szCs w:val="24"/>
        </w:rPr>
        <w:t>University</w:t>
      </w:r>
      <w:r w:rsidRPr="0063140C">
        <w:rPr>
          <w:sz w:val="24"/>
          <w:szCs w:val="24"/>
        </w:rPr>
        <w:t>.</w:t>
      </w:r>
    </w:p>
    <w:p w14:paraId="484D0454" w14:textId="77777777" w:rsidR="00585B80" w:rsidRPr="00492F82" w:rsidRDefault="00585B80" w:rsidP="00837E7B">
      <w:pPr>
        <w:tabs>
          <w:tab w:val="left" w:pos="0"/>
        </w:tabs>
        <w:rPr>
          <w:i/>
          <w:sz w:val="24"/>
          <w:szCs w:val="24"/>
        </w:rPr>
      </w:pPr>
      <w:r w:rsidRPr="00492F82">
        <w:rPr>
          <w:i/>
          <w:sz w:val="24"/>
          <w:szCs w:val="24"/>
        </w:rPr>
        <w:t>Online Learning</w:t>
      </w:r>
    </w:p>
    <w:p w14:paraId="4DABF669" w14:textId="77777777" w:rsidR="004B7E26" w:rsidRDefault="00F26353" w:rsidP="00837E7B">
      <w:pPr>
        <w:tabs>
          <w:tab w:val="left" w:pos="0"/>
        </w:tabs>
        <w:rPr>
          <w:sz w:val="24"/>
          <w:szCs w:val="24"/>
        </w:rPr>
      </w:pPr>
      <w:r w:rsidRPr="00492F82">
        <w:rPr>
          <w:sz w:val="24"/>
          <w:szCs w:val="24"/>
        </w:rPr>
        <w:t>In the 2013-2014 academic year, approximately 15% of course sections offered were distance learning courses.  FGCU is in a position to expand student access and quality through o</w:t>
      </w:r>
      <w:r w:rsidR="004B7E26" w:rsidRPr="00492F82">
        <w:rPr>
          <w:sz w:val="24"/>
          <w:szCs w:val="24"/>
        </w:rPr>
        <w:t>nline learning</w:t>
      </w:r>
      <w:r w:rsidRPr="00492F82">
        <w:rPr>
          <w:sz w:val="24"/>
          <w:szCs w:val="24"/>
        </w:rPr>
        <w:t xml:space="preserve"> by offering more courses and degree programs through this modality</w:t>
      </w:r>
      <w:r>
        <w:rPr>
          <w:sz w:val="24"/>
          <w:szCs w:val="24"/>
        </w:rPr>
        <w:t>, where appropriate</w:t>
      </w:r>
      <w:r w:rsidR="001263CB">
        <w:rPr>
          <w:sz w:val="24"/>
          <w:szCs w:val="24"/>
        </w:rPr>
        <w:t>,</w:t>
      </w:r>
      <w:r>
        <w:rPr>
          <w:sz w:val="24"/>
          <w:szCs w:val="24"/>
        </w:rPr>
        <w:t xml:space="preserve"> and in support of the FGCU mission</w:t>
      </w:r>
      <w:r w:rsidRPr="00492F82">
        <w:rPr>
          <w:sz w:val="24"/>
          <w:szCs w:val="24"/>
        </w:rPr>
        <w:t xml:space="preserve">.  An Online Learning Task Force </w:t>
      </w:r>
      <w:r w:rsidR="001263CB">
        <w:rPr>
          <w:sz w:val="24"/>
          <w:szCs w:val="24"/>
        </w:rPr>
        <w:t>is developing</w:t>
      </w:r>
      <w:r w:rsidRPr="00492F82">
        <w:rPr>
          <w:sz w:val="24"/>
          <w:szCs w:val="24"/>
        </w:rPr>
        <w:t xml:space="preserve"> a strategic plan to guide these efforts.</w:t>
      </w:r>
    </w:p>
    <w:p w14:paraId="59190990" w14:textId="77777777" w:rsidR="001A7106" w:rsidRDefault="001A7106" w:rsidP="00837E7B">
      <w:pPr>
        <w:tabs>
          <w:tab w:val="left" w:pos="0"/>
        </w:tabs>
        <w:rPr>
          <w:sz w:val="24"/>
          <w:szCs w:val="24"/>
        </w:rPr>
      </w:pPr>
      <w:r w:rsidRPr="00492F82">
        <w:rPr>
          <w:sz w:val="24"/>
          <w:szCs w:val="24"/>
        </w:rPr>
        <w:t xml:space="preserve">In addition to the expansion of online learning options, FGCU stands to benefit from scheduling of classes to maximize utilization of existing physical facilities and increase accessibility and enrollment options for students.  An analysis of classroom space utilization resulted in the expansion of courses offered on particular days of the week.  The </w:t>
      </w:r>
      <w:r>
        <w:rPr>
          <w:sz w:val="24"/>
          <w:szCs w:val="24"/>
        </w:rPr>
        <w:t>consideration</w:t>
      </w:r>
      <w:r w:rsidRPr="00492F82">
        <w:rPr>
          <w:sz w:val="24"/>
          <w:szCs w:val="24"/>
        </w:rPr>
        <w:t xml:space="preserve"> of additional blended learning opportunities</w:t>
      </w:r>
      <w:r>
        <w:rPr>
          <w:sz w:val="24"/>
          <w:szCs w:val="24"/>
        </w:rPr>
        <w:t>, whereby courses are offered as a blend of face-to-face and online learning modalities,</w:t>
      </w:r>
      <w:r w:rsidRPr="00492F82">
        <w:rPr>
          <w:sz w:val="24"/>
          <w:szCs w:val="24"/>
        </w:rPr>
        <w:t xml:space="preserve"> allows for classroom space to be assigned to multiple course sections throughout a semester.</w:t>
      </w:r>
    </w:p>
    <w:p w14:paraId="1F4A7A52" w14:textId="4F0218A5" w:rsidR="00B47F13" w:rsidRPr="00C513F2" w:rsidRDefault="00B47F13" w:rsidP="00B47F13">
      <w:pPr>
        <w:pStyle w:val="CommentText"/>
        <w:rPr>
          <w:i/>
          <w:sz w:val="24"/>
          <w:szCs w:val="24"/>
        </w:rPr>
      </w:pPr>
      <w:r w:rsidRPr="00C513F2">
        <w:rPr>
          <w:i/>
          <w:sz w:val="24"/>
          <w:szCs w:val="24"/>
        </w:rPr>
        <w:t>Technology</w:t>
      </w:r>
      <w:r w:rsidR="00C513F2" w:rsidRPr="00C513F2">
        <w:rPr>
          <w:i/>
          <w:sz w:val="24"/>
          <w:szCs w:val="24"/>
        </w:rPr>
        <w:t xml:space="preserve"> Resources</w:t>
      </w:r>
    </w:p>
    <w:p w14:paraId="75E5E717" w14:textId="77777777" w:rsidR="00C513F2" w:rsidRPr="00C513F2" w:rsidRDefault="00B47F13" w:rsidP="00B47F13">
      <w:pPr>
        <w:pStyle w:val="CommentText"/>
        <w:rPr>
          <w:sz w:val="24"/>
          <w:szCs w:val="24"/>
        </w:rPr>
      </w:pPr>
      <w:r w:rsidRPr="00C513F2">
        <w:rPr>
          <w:sz w:val="24"/>
          <w:szCs w:val="24"/>
        </w:rPr>
        <w:t>FGCU has a lengthy list of technical suppo</w:t>
      </w:r>
      <w:r w:rsidR="00C513F2" w:rsidRPr="00C513F2">
        <w:rPr>
          <w:sz w:val="24"/>
          <w:szCs w:val="24"/>
        </w:rPr>
        <w:t>rt improvements for the B</w:t>
      </w:r>
      <w:r w:rsidRPr="00C513F2">
        <w:rPr>
          <w:sz w:val="24"/>
          <w:szCs w:val="24"/>
        </w:rPr>
        <w:t xml:space="preserve">anner </w:t>
      </w:r>
      <w:r w:rsidR="00C513F2" w:rsidRPr="00C513F2">
        <w:rPr>
          <w:sz w:val="24"/>
          <w:szCs w:val="24"/>
        </w:rPr>
        <w:t>Enterprise Resource Package</w:t>
      </w:r>
      <w:r w:rsidRPr="00C513F2">
        <w:rPr>
          <w:sz w:val="24"/>
          <w:szCs w:val="24"/>
        </w:rPr>
        <w:t>.  Improve</w:t>
      </w:r>
      <w:r w:rsidR="00C513F2" w:rsidRPr="00C513F2">
        <w:rPr>
          <w:sz w:val="24"/>
          <w:szCs w:val="24"/>
        </w:rPr>
        <w:t>ments are required to help the U</w:t>
      </w:r>
      <w:r w:rsidRPr="00C513F2">
        <w:rPr>
          <w:sz w:val="24"/>
          <w:szCs w:val="24"/>
        </w:rPr>
        <w:t>niversity keep up with growth and changing requirements</w:t>
      </w:r>
      <w:r w:rsidR="00C513F2" w:rsidRPr="00C513F2">
        <w:rPr>
          <w:sz w:val="24"/>
          <w:szCs w:val="24"/>
        </w:rPr>
        <w:t xml:space="preserve"> for state level reporting and accreditation. Banner is a product of DATATEL + SunGard Higher Education and is a leading Student Information System used by over 2,300 colleges and universities in over 40 countries. </w:t>
      </w:r>
    </w:p>
    <w:p w14:paraId="4271F7AA" w14:textId="27D2D96B" w:rsidR="00B47F13" w:rsidRPr="00C513F2" w:rsidRDefault="00C513F2" w:rsidP="00B47F13">
      <w:pPr>
        <w:pStyle w:val="CommentText"/>
        <w:rPr>
          <w:sz w:val="24"/>
          <w:szCs w:val="24"/>
        </w:rPr>
      </w:pPr>
      <w:r w:rsidRPr="00C513F2">
        <w:rPr>
          <w:sz w:val="24"/>
          <w:szCs w:val="24"/>
        </w:rPr>
        <w:t>GULFLINE is FGCU’s name for the Banner Self-Service applications. Students can use the Self-Service applications to perform fun</w:t>
      </w:r>
      <w:r>
        <w:rPr>
          <w:sz w:val="24"/>
          <w:szCs w:val="24"/>
        </w:rPr>
        <w:t>ctions such as applying to the U</w:t>
      </w:r>
      <w:r w:rsidRPr="00C513F2">
        <w:rPr>
          <w:sz w:val="24"/>
          <w:szCs w:val="24"/>
        </w:rPr>
        <w:t xml:space="preserve">niversity, registering and paying for classes, viewing their class schedules, requesting transcripts, and applying for graduation. Faculty can view their classes, print rosters, and enter grades. Employees can </w:t>
      </w:r>
      <w:r w:rsidRPr="00C513F2">
        <w:rPr>
          <w:sz w:val="24"/>
          <w:szCs w:val="24"/>
        </w:rPr>
        <w:lastRenderedPageBreak/>
        <w:t>register for benefits, view their pay-stubs, enter their timesheets, and see their leave balances. Parents can use GULFLINE to add money onto a student’s Eagle ID Card for purchases at many of the vendors, the bookstore, and printers and copiers on campus.</w:t>
      </w:r>
    </w:p>
    <w:p w14:paraId="2937127F" w14:textId="63207B3D" w:rsidR="00B47F13" w:rsidRPr="00C513F2" w:rsidRDefault="00C513F2" w:rsidP="00C513F2">
      <w:pPr>
        <w:pStyle w:val="CommentText"/>
        <w:rPr>
          <w:sz w:val="24"/>
          <w:szCs w:val="24"/>
        </w:rPr>
      </w:pPr>
      <w:r w:rsidRPr="00C513F2">
        <w:rPr>
          <w:sz w:val="24"/>
          <w:szCs w:val="24"/>
        </w:rPr>
        <w:t xml:space="preserve">Banner provides built-in reports for each of the specific functional areas. Custom reports and processes are developed by the Applications Group of Business Technology Services for Banner and GULFLINE.  FGCU has implemented the </w:t>
      </w:r>
      <w:proofErr w:type="spellStart"/>
      <w:r w:rsidRPr="00C513F2">
        <w:rPr>
          <w:sz w:val="24"/>
          <w:szCs w:val="24"/>
        </w:rPr>
        <w:t>Cognos</w:t>
      </w:r>
      <w:proofErr w:type="spellEnd"/>
      <w:r w:rsidRPr="00C513F2">
        <w:rPr>
          <w:sz w:val="24"/>
          <w:szCs w:val="24"/>
        </w:rPr>
        <w:t xml:space="preserve"> web-based reporting tool that pulls data from the Banner Operational Data Store (ODS), which is a transactional reporting database refreshed with data from the Banner production system daily. </w:t>
      </w:r>
      <w:proofErr w:type="spellStart"/>
      <w:r w:rsidRPr="00C513F2">
        <w:rPr>
          <w:sz w:val="24"/>
          <w:szCs w:val="24"/>
        </w:rPr>
        <w:t>Cognos</w:t>
      </w:r>
      <w:proofErr w:type="spellEnd"/>
      <w:r w:rsidRPr="00C513F2">
        <w:rPr>
          <w:sz w:val="24"/>
          <w:szCs w:val="24"/>
        </w:rPr>
        <w:t xml:space="preserve"> reports are developed by </w:t>
      </w:r>
      <w:proofErr w:type="spellStart"/>
      <w:r w:rsidRPr="00C513F2">
        <w:rPr>
          <w:sz w:val="24"/>
          <w:szCs w:val="24"/>
        </w:rPr>
        <w:t>Cognos</w:t>
      </w:r>
      <w:proofErr w:type="spellEnd"/>
      <w:r w:rsidRPr="00C513F2">
        <w:rPr>
          <w:sz w:val="24"/>
          <w:szCs w:val="24"/>
        </w:rPr>
        <w:t xml:space="preserve"> Report Authors within the functional areas and by Business Technology Services Applications Group staff. </w:t>
      </w:r>
      <w:proofErr w:type="spellStart"/>
      <w:r w:rsidRPr="00C513F2">
        <w:rPr>
          <w:sz w:val="24"/>
          <w:szCs w:val="24"/>
        </w:rPr>
        <w:t>Cognos</w:t>
      </w:r>
      <w:proofErr w:type="spellEnd"/>
      <w:r w:rsidRPr="00C513F2">
        <w:rPr>
          <w:sz w:val="24"/>
          <w:szCs w:val="24"/>
        </w:rPr>
        <w:t xml:space="preserve"> reports are published and made available faculty and staff who have been given access to view and run the reports.</w:t>
      </w:r>
    </w:p>
    <w:p w14:paraId="004BDDAC" w14:textId="40CD4E87" w:rsidR="00B47F13" w:rsidRPr="00C513F2" w:rsidRDefault="00B47F13" w:rsidP="00B47F13">
      <w:pPr>
        <w:tabs>
          <w:tab w:val="left" w:pos="0"/>
        </w:tabs>
        <w:rPr>
          <w:i/>
          <w:sz w:val="24"/>
          <w:szCs w:val="24"/>
        </w:rPr>
      </w:pPr>
      <w:r w:rsidRPr="00C513F2">
        <w:rPr>
          <w:sz w:val="24"/>
          <w:szCs w:val="24"/>
        </w:rPr>
        <w:t>Further enhancements to the integration of technology resources and systems to maximize efficiency and provide: data, process, documentation standardization, Banner customization to meet growing institutional management and external data reporting needs, and enhance communication across divisions.</w:t>
      </w:r>
    </w:p>
    <w:p w14:paraId="3AC84A3F" w14:textId="77777777" w:rsidR="00D572A2" w:rsidRDefault="00D572A2" w:rsidP="00837E7B">
      <w:pPr>
        <w:tabs>
          <w:tab w:val="left" w:pos="0"/>
        </w:tabs>
        <w:rPr>
          <w:sz w:val="24"/>
          <w:szCs w:val="24"/>
        </w:rPr>
      </w:pPr>
      <w:r>
        <w:rPr>
          <w:i/>
          <w:sz w:val="24"/>
          <w:szCs w:val="24"/>
        </w:rPr>
        <w:t>New Academic Programs</w:t>
      </w:r>
    </w:p>
    <w:p w14:paraId="30D519EC" w14:textId="77777777" w:rsidR="00BE69E2" w:rsidRDefault="00D572A2" w:rsidP="00837E7B">
      <w:pPr>
        <w:tabs>
          <w:tab w:val="left" w:pos="0"/>
        </w:tabs>
        <w:rPr>
          <w:i/>
          <w:sz w:val="24"/>
          <w:szCs w:val="24"/>
        </w:rPr>
      </w:pPr>
      <w:r>
        <w:rPr>
          <w:sz w:val="24"/>
          <w:szCs w:val="24"/>
        </w:rPr>
        <w:t xml:space="preserve">Within the next five years, FGCU </w:t>
      </w:r>
      <w:r w:rsidR="00751C3B">
        <w:rPr>
          <w:sz w:val="24"/>
          <w:szCs w:val="24"/>
        </w:rPr>
        <w:t xml:space="preserve">has </w:t>
      </w:r>
      <w:r>
        <w:rPr>
          <w:sz w:val="24"/>
          <w:szCs w:val="24"/>
        </w:rPr>
        <w:t>proposed to add four new baccalaureate degree programs, five graduate degree programs, and two doctoral programs to its current catalog of options.  These programs represent a number of degrees in science, technolo</w:t>
      </w:r>
      <w:r w:rsidR="00C8242A">
        <w:rPr>
          <w:sz w:val="24"/>
          <w:szCs w:val="24"/>
        </w:rPr>
        <w:t>gy, engineering and mathematics-</w:t>
      </w:r>
      <w:r>
        <w:rPr>
          <w:sz w:val="24"/>
          <w:szCs w:val="24"/>
        </w:rPr>
        <w:t xml:space="preserve">related fields in addition to </w:t>
      </w:r>
      <w:r w:rsidR="00C8242A">
        <w:rPr>
          <w:sz w:val="24"/>
          <w:szCs w:val="24"/>
        </w:rPr>
        <w:t>regionally relevant disciplines that address workforce needs.</w:t>
      </w:r>
    </w:p>
    <w:p w14:paraId="7A502DB3" w14:textId="77777777" w:rsidR="006B098C" w:rsidRPr="00492F82" w:rsidRDefault="006B098C" w:rsidP="00837E7B">
      <w:pPr>
        <w:tabs>
          <w:tab w:val="left" w:pos="0"/>
        </w:tabs>
        <w:rPr>
          <w:i/>
          <w:sz w:val="24"/>
          <w:szCs w:val="24"/>
        </w:rPr>
      </w:pPr>
      <w:r w:rsidRPr="00492F82">
        <w:rPr>
          <w:i/>
          <w:sz w:val="24"/>
          <w:szCs w:val="24"/>
        </w:rPr>
        <w:t>Improved Student Learning</w:t>
      </w:r>
    </w:p>
    <w:p w14:paraId="70F62A5B" w14:textId="64E1D1BA" w:rsidR="004B7E26" w:rsidRPr="00492F82" w:rsidRDefault="001A7106" w:rsidP="00837E7B">
      <w:pPr>
        <w:tabs>
          <w:tab w:val="left" w:pos="0"/>
        </w:tabs>
        <w:rPr>
          <w:sz w:val="24"/>
          <w:szCs w:val="24"/>
        </w:rPr>
      </w:pPr>
      <w:r w:rsidRPr="00492F82">
        <w:rPr>
          <w:sz w:val="24"/>
          <w:szCs w:val="24"/>
        </w:rPr>
        <w:t>As a component of the S</w:t>
      </w:r>
      <w:r w:rsidR="00CB7CBF">
        <w:rPr>
          <w:sz w:val="24"/>
          <w:szCs w:val="24"/>
        </w:rPr>
        <w:t xml:space="preserve">outhern </w:t>
      </w:r>
      <w:r w:rsidRPr="00492F82">
        <w:rPr>
          <w:sz w:val="24"/>
          <w:szCs w:val="24"/>
        </w:rPr>
        <w:t>A</w:t>
      </w:r>
      <w:r w:rsidR="00CB7CBF">
        <w:rPr>
          <w:sz w:val="24"/>
          <w:szCs w:val="24"/>
        </w:rPr>
        <w:t xml:space="preserve">ssociation of </w:t>
      </w:r>
      <w:r w:rsidRPr="00492F82">
        <w:rPr>
          <w:sz w:val="24"/>
          <w:szCs w:val="24"/>
        </w:rPr>
        <w:t>C</w:t>
      </w:r>
      <w:r w:rsidR="00CB7CBF">
        <w:rPr>
          <w:sz w:val="24"/>
          <w:szCs w:val="24"/>
        </w:rPr>
        <w:t xml:space="preserve">olleges and </w:t>
      </w:r>
      <w:r w:rsidR="00CB7CBF" w:rsidRPr="00492F82">
        <w:rPr>
          <w:sz w:val="24"/>
          <w:szCs w:val="24"/>
        </w:rPr>
        <w:t>S</w:t>
      </w:r>
      <w:r w:rsidR="00CB7CBF">
        <w:rPr>
          <w:sz w:val="24"/>
          <w:szCs w:val="24"/>
        </w:rPr>
        <w:t xml:space="preserve">chools </w:t>
      </w:r>
      <w:r w:rsidR="00CB7CBF" w:rsidRPr="00492F82">
        <w:rPr>
          <w:sz w:val="24"/>
          <w:szCs w:val="24"/>
        </w:rPr>
        <w:t>C</w:t>
      </w:r>
      <w:r w:rsidR="00CB7CBF">
        <w:rPr>
          <w:sz w:val="24"/>
          <w:szCs w:val="24"/>
        </w:rPr>
        <w:t xml:space="preserve">ommission </w:t>
      </w:r>
      <w:r w:rsidRPr="00492F82">
        <w:rPr>
          <w:sz w:val="24"/>
          <w:szCs w:val="24"/>
        </w:rPr>
        <w:t>O</w:t>
      </w:r>
      <w:r w:rsidR="00CB7CBF">
        <w:rPr>
          <w:sz w:val="24"/>
          <w:szCs w:val="24"/>
        </w:rPr>
        <w:t xml:space="preserve">n </w:t>
      </w:r>
      <w:r w:rsidRPr="00492F82">
        <w:rPr>
          <w:sz w:val="24"/>
          <w:szCs w:val="24"/>
        </w:rPr>
        <w:t>C</w:t>
      </w:r>
      <w:r w:rsidR="00CB7CBF">
        <w:rPr>
          <w:sz w:val="24"/>
          <w:szCs w:val="24"/>
        </w:rPr>
        <w:t>olleges (SACSCOC)</w:t>
      </w:r>
      <w:r w:rsidRPr="00492F82">
        <w:rPr>
          <w:sz w:val="24"/>
          <w:szCs w:val="24"/>
        </w:rPr>
        <w:t xml:space="preserve"> Reaffirmation of Accreditation process, the FGCU faculty have proposed a </w:t>
      </w:r>
      <w:r w:rsidR="004B7E26" w:rsidRPr="00492F82">
        <w:rPr>
          <w:sz w:val="24"/>
          <w:szCs w:val="24"/>
        </w:rPr>
        <w:t>Quality Enhancement Plan</w:t>
      </w:r>
      <w:r w:rsidR="00C8242A">
        <w:rPr>
          <w:sz w:val="24"/>
          <w:szCs w:val="24"/>
        </w:rPr>
        <w:t xml:space="preserve"> (QEP), “</w:t>
      </w:r>
      <w:r w:rsidR="00F7164E">
        <w:rPr>
          <w:sz w:val="24"/>
          <w:szCs w:val="24"/>
        </w:rPr>
        <w:t xml:space="preserve">FGCU Scholars: </w:t>
      </w:r>
      <w:r w:rsidR="00C8242A">
        <w:rPr>
          <w:sz w:val="24"/>
          <w:szCs w:val="24"/>
        </w:rPr>
        <w:t>Improving Writing, Critical Thinking, and Information Literacy in the Majors”</w:t>
      </w:r>
      <w:r w:rsidRPr="00492F82">
        <w:rPr>
          <w:sz w:val="24"/>
          <w:szCs w:val="24"/>
        </w:rPr>
        <w:t xml:space="preserve"> to strengthen undergraduate student learning in relation the</w:t>
      </w:r>
      <w:r w:rsidR="00C8242A">
        <w:rPr>
          <w:sz w:val="24"/>
          <w:szCs w:val="24"/>
        </w:rPr>
        <w:t>se</w:t>
      </w:r>
      <w:r w:rsidRPr="00492F82">
        <w:rPr>
          <w:sz w:val="24"/>
          <w:szCs w:val="24"/>
        </w:rPr>
        <w:t xml:space="preserve"> skills.  The QEP will be integrated into all undergraduate degree programs across all levels of enrollment (freshman through senior).</w:t>
      </w:r>
      <w:r w:rsidR="003D1C28" w:rsidRPr="00492F82">
        <w:rPr>
          <w:sz w:val="24"/>
          <w:szCs w:val="24"/>
        </w:rPr>
        <w:t xml:space="preserve">  The ultimate goal is to improve student learning, resulting in the retention of students toward graduation</w:t>
      </w:r>
      <w:r w:rsidR="00EC4885">
        <w:rPr>
          <w:sz w:val="24"/>
          <w:szCs w:val="24"/>
        </w:rPr>
        <w:t xml:space="preserve"> and a higher caliber of FGCU graduates</w:t>
      </w:r>
      <w:r w:rsidR="003D1C28" w:rsidRPr="00492F82">
        <w:rPr>
          <w:sz w:val="24"/>
          <w:szCs w:val="24"/>
        </w:rPr>
        <w:t>.</w:t>
      </w:r>
      <w:r w:rsidR="003D1C28">
        <w:rPr>
          <w:sz w:val="24"/>
          <w:szCs w:val="24"/>
        </w:rPr>
        <w:t xml:space="preserve">  This plan, </w:t>
      </w:r>
      <w:r w:rsidR="00C8242A">
        <w:rPr>
          <w:sz w:val="24"/>
          <w:szCs w:val="24"/>
        </w:rPr>
        <w:t>upon endor</w:t>
      </w:r>
      <w:r w:rsidR="00F57EA1">
        <w:rPr>
          <w:sz w:val="24"/>
          <w:szCs w:val="24"/>
        </w:rPr>
        <w:t>sement</w:t>
      </w:r>
      <w:r w:rsidR="003D1C28">
        <w:rPr>
          <w:sz w:val="24"/>
          <w:szCs w:val="24"/>
        </w:rPr>
        <w:t xml:space="preserve"> through the SACSCOC review process, will </w:t>
      </w:r>
      <w:r w:rsidR="00D770A1">
        <w:rPr>
          <w:sz w:val="24"/>
          <w:szCs w:val="24"/>
        </w:rPr>
        <w:t>be implemented fully</w:t>
      </w:r>
      <w:r w:rsidR="003D1C28">
        <w:rPr>
          <w:sz w:val="24"/>
          <w:szCs w:val="24"/>
        </w:rPr>
        <w:t xml:space="preserve"> in the 2015-2016 academic year.</w:t>
      </w:r>
    </w:p>
    <w:p w14:paraId="2EC3C87D" w14:textId="77777777" w:rsidR="004B7E26" w:rsidRPr="00492F82" w:rsidRDefault="004B7E26" w:rsidP="00837E7B">
      <w:pPr>
        <w:tabs>
          <w:tab w:val="left" w:pos="0"/>
        </w:tabs>
        <w:rPr>
          <w:i/>
          <w:sz w:val="24"/>
          <w:szCs w:val="24"/>
        </w:rPr>
      </w:pPr>
      <w:r w:rsidRPr="00492F82">
        <w:rPr>
          <w:i/>
          <w:sz w:val="24"/>
          <w:szCs w:val="24"/>
        </w:rPr>
        <w:t>Shared Governance</w:t>
      </w:r>
    </w:p>
    <w:p w14:paraId="27EF3EC0" w14:textId="39D5E469" w:rsidR="00EC4885" w:rsidRPr="00492F82" w:rsidRDefault="00EC4885" w:rsidP="00837E7B">
      <w:pPr>
        <w:tabs>
          <w:tab w:val="left" w:pos="0"/>
        </w:tabs>
        <w:rPr>
          <w:rFonts w:cstheme="minorHAnsi"/>
          <w:sz w:val="28"/>
          <w:szCs w:val="24"/>
        </w:rPr>
      </w:pPr>
      <w:r w:rsidRPr="00492F82">
        <w:rPr>
          <w:rFonts w:cstheme="minorHAnsi"/>
          <w:sz w:val="24"/>
        </w:rPr>
        <w:t xml:space="preserve">The purpose of shared governance at FGCU is to effectively promote the accomplishment of the </w:t>
      </w:r>
      <w:r w:rsidR="00CB7CBF">
        <w:rPr>
          <w:rFonts w:cstheme="minorHAnsi"/>
          <w:sz w:val="24"/>
        </w:rPr>
        <w:t>University</w:t>
      </w:r>
      <w:r w:rsidRPr="00492F82">
        <w:rPr>
          <w:rFonts w:cstheme="minorHAnsi"/>
          <w:sz w:val="24"/>
        </w:rPr>
        <w:t xml:space="preserve">'s unique vision and mission through shared responsibility and accountability among stakeholders, while exercising sound principles of fiscal management and retaining public </w:t>
      </w:r>
      <w:r w:rsidRPr="00492F82">
        <w:rPr>
          <w:rFonts w:cstheme="minorHAnsi"/>
          <w:sz w:val="24"/>
        </w:rPr>
        <w:lastRenderedPageBreak/>
        <w:t>accountability. FGCU is committed to the notion that the best path to success is one where the responsibility and accountability for academic excellence and student success is shared openly and cooperatively among all parties.</w:t>
      </w:r>
    </w:p>
    <w:p w14:paraId="20470F56" w14:textId="77777777" w:rsidR="00EC4885" w:rsidRDefault="00EC4885" w:rsidP="00837E7B">
      <w:pPr>
        <w:tabs>
          <w:tab w:val="left" w:pos="0"/>
        </w:tabs>
        <w:rPr>
          <w:sz w:val="24"/>
          <w:szCs w:val="24"/>
        </w:rPr>
      </w:pPr>
    </w:p>
    <w:p w14:paraId="612429EF" w14:textId="77777777" w:rsidR="00F93B06" w:rsidRDefault="00F93B06" w:rsidP="00837E7B">
      <w:pPr>
        <w:tabs>
          <w:tab w:val="left" w:pos="0"/>
        </w:tabs>
        <w:rPr>
          <w:b/>
          <w:sz w:val="24"/>
          <w:szCs w:val="24"/>
        </w:rPr>
      </w:pPr>
      <w:r>
        <w:rPr>
          <w:b/>
          <w:noProof/>
          <w:sz w:val="24"/>
          <w:szCs w:val="24"/>
        </w:rPr>
        <w:drawing>
          <wp:inline distT="0" distB="0" distL="0" distR="0" wp14:anchorId="1740FB14" wp14:editId="32ECFD04">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369B1E8" w14:textId="2027C388" w:rsidR="00EC4885" w:rsidRPr="00492F82" w:rsidRDefault="00EC4885" w:rsidP="00837E7B">
      <w:pPr>
        <w:tabs>
          <w:tab w:val="left" w:pos="0"/>
        </w:tabs>
        <w:rPr>
          <w:sz w:val="24"/>
          <w:szCs w:val="24"/>
        </w:rPr>
      </w:pPr>
      <w:r>
        <w:rPr>
          <w:sz w:val="24"/>
          <w:szCs w:val="24"/>
        </w:rPr>
        <w:t xml:space="preserve">Implementation of shared governance at FGCU is mediated through the FGCU Board of Trustees Bylaws, Planning and Budget Council Bylaws, Collective Bargaining Agreement, Faculty Senate Governance Document, Staff Advisory Council Bylaws and the Student Government Constitution.  FGCU Policy 2.012 further outlines the purpose and commitment of the </w:t>
      </w:r>
      <w:r w:rsidR="00CB7CBF">
        <w:rPr>
          <w:sz w:val="24"/>
          <w:szCs w:val="24"/>
        </w:rPr>
        <w:t>University</w:t>
      </w:r>
      <w:r>
        <w:rPr>
          <w:sz w:val="24"/>
          <w:szCs w:val="24"/>
        </w:rPr>
        <w:t xml:space="preserve"> to this practice.</w:t>
      </w:r>
    </w:p>
    <w:p w14:paraId="48DAE354" w14:textId="77777777" w:rsidR="00C92898" w:rsidRDefault="00C92898" w:rsidP="00837E7B">
      <w:pPr>
        <w:tabs>
          <w:tab w:val="left" w:pos="0"/>
        </w:tabs>
        <w:rPr>
          <w:sz w:val="24"/>
          <w:szCs w:val="24"/>
        </w:rPr>
      </w:pPr>
      <w:r w:rsidRPr="00492F82">
        <w:rPr>
          <w:i/>
          <w:sz w:val="24"/>
          <w:szCs w:val="24"/>
        </w:rPr>
        <w:t>Marketing</w:t>
      </w:r>
    </w:p>
    <w:p w14:paraId="104FE363" w14:textId="6372F3B9" w:rsidR="00A40A18" w:rsidRPr="00492F82" w:rsidRDefault="00F7164E" w:rsidP="00837E7B">
      <w:pPr>
        <w:tabs>
          <w:tab w:val="left" w:pos="0"/>
        </w:tabs>
        <w:rPr>
          <w:sz w:val="24"/>
          <w:szCs w:val="24"/>
        </w:rPr>
      </w:pPr>
      <w:r>
        <w:rPr>
          <w:sz w:val="24"/>
          <w:szCs w:val="24"/>
        </w:rPr>
        <w:t xml:space="preserve">In 2014, Neustadt Creative Marketing conducted a marketing study and provided recommendations on communications strategy and marketing steps to FGCU administrators.  </w:t>
      </w:r>
      <w:r w:rsidR="00A40A18">
        <w:rPr>
          <w:sz w:val="24"/>
          <w:szCs w:val="24"/>
        </w:rPr>
        <w:t xml:space="preserve">Historically, marketing initiatives at FGCU have been decentralized and </w:t>
      </w:r>
      <w:r w:rsidR="009C474D">
        <w:rPr>
          <w:sz w:val="24"/>
          <w:szCs w:val="24"/>
        </w:rPr>
        <w:t>inconsistent in terms of brand, messages</w:t>
      </w:r>
      <w:r w:rsidR="00F57EA1">
        <w:rPr>
          <w:sz w:val="24"/>
          <w:szCs w:val="24"/>
        </w:rPr>
        <w:t>,</w:t>
      </w:r>
      <w:r w:rsidR="009C474D">
        <w:rPr>
          <w:sz w:val="24"/>
          <w:szCs w:val="24"/>
        </w:rPr>
        <w:t xml:space="preserve"> and integration of efforts.  A newly developed organizational structure will provide for consistent policies and procedures for marketing across the </w:t>
      </w:r>
      <w:r w:rsidR="00CB7CBF">
        <w:rPr>
          <w:sz w:val="24"/>
          <w:szCs w:val="24"/>
        </w:rPr>
        <w:t>University</w:t>
      </w:r>
      <w:r w:rsidR="009C474D">
        <w:rPr>
          <w:sz w:val="24"/>
          <w:szCs w:val="24"/>
        </w:rPr>
        <w:t>, integration of c</w:t>
      </w:r>
      <w:r w:rsidR="00A031CB">
        <w:rPr>
          <w:sz w:val="24"/>
          <w:szCs w:val="24"/>
        </w:rPr>
        <w:t>ommunication efforts, and creation of</w:t>
      </w:r>
      <w:r w:rsidR="009C474D">
        <w:rPr>
          <w:sz w:val="24"/>
          <w:szCs w:val="24"/>
        </w:rPr>
        <w:t xml:space="preserve"> a collaborative and planned approach to publicly represent FGCU internally and externally.  These efforts </w:t>
      </w:r>
      <w:r w:rsidR="00097E0E">
        <w:rPr>
          <w:sz w:val="24"/>
          <w:szCs w:val="24"/>
        </w:rPr>
        <w:t xml:space="preserve">will </w:t>
      </w:r>
      <w:r w:rsidR="009C474D">
        <w:rPr>
          <w:sz w:val="24"/>
          <w:szCs w:val="24"/>
        </w:rPr>
        <w:t>provide opportunities for greater alumni outreach, prospective student recruitment, and donor interest.</w:t>
      </w:r>
    </w:p>
    <w:p w14:paraId="1C085E07" w14:textId="77777777" w:rsidR="001C6E7C" w:rsidRDefault="001C6E7C">
      <w:pPr>
        <w:rPr>
          <w:b/>
          <w:sz w:val="24"/>
          <w:szCs w:val="24"/>
        </w:rPr>
      </w:pPr>
      <w:r>
        <w:rPr>
          <w:b/>
          <w:sz w:val="24"/>
          <w:szCs w:val="24"/>
        </w:rPr>
        <w:br w:type="page"/>
      </w:r>
    </w:p>
    <w:p w14:paraId="63D30695" w14:textId="20A60486" w:rsidR="00C92898" w:rsidRDefault="00C92898" w:rsidP="00837E7B">
      <w:pPr>
        <w:tabs>
          <w:tab w:val="left" w:pos="0"/>
        </w:tabs>
        <w:rPr>
          <w:b/>
          <w:sz w:val="24"/>
          <w:szCs w:val="24"/>
        </w:rPr>
      </w:pPr>
      <w:r>
        <w:rPr>
          <w:b/>
          <w:sz w:val="24"/>
          <w:szCs w:val="24"/>
        </w:rPr>
        <w:lastRenderedPageBreak/>
        <w:t>Challenges</w:t>
      </w:r>
    </w:p>
    <w:p w14:paraId="31B0761E" w14:textId="77777777" w:rsidR="0052533C" w:rsidRPr="00492F82" w:rsidRDefault="0052533C" w:rsidP="00837E7B">
      <w:pPr>
        <w:tabs>
          <w:tab w:val="left" w:pos="0"/>
        </w:tabs>
        <w:rPr>
          <w:i/>
          <w:sz w:val="24"/>
          <w:szCs w:val="24"/>
        </w:rPr>
      </w:pPr>
      <w:r w:rsidRPr="00492F82">
        <w:rPr>
          <w:i/>
          <w:sz w:val="24"/>
          <w:szCs w:val="24"/>
        </w:rPr>
        <w:t>Degree Production</w:t>
      </w:r>
    </w:p>
    <w:p w14:paraId="59B03DA1" w14:textId="7B861ADB" w:rsidR="00C92898" w:rsidRPr="00492F82" w:rsidRDefault="003335D9" w:rsidP="00837E7B">
      <w:pPr>
        <w:tabs>
          <w:tab w:val="left" w:pos="0"/>
        </w:tabs>
        <w:rPr>
          <w:sz w:val="24"/>
          <w:szCs w:val="24"/>
        </w:rPr>
      </w:pPr>
      <w:r w:rsidRPr="00492F82">
        <w:rPr>
          <w:sz w:val="24"/>
          <w:szCs w:val="24"/>
        </w:rPr>
        <w:t>FGCU is faced with the challenges of increasing d</w:t>
      </w:r>
      <w:r w:rsidR="00C92898" w:rsidRPr="00492F82">
        <w:rPr>
          <w:sz w:val="24"/>
          <w:szCs w:val="24"/>
        </w:rPr>
        <w:t xml:space="preserve">egree </w:t>
      </w:r>
      <w:r w:rsidRPr="00492F82">
        <w:rPr>
          <w:sz w:val="24"/>
          <w:szCs w:val="24"/>
        </w:rPr>
        <w:t>p</w:t>
      </w:r>
      <w:r w:rsidR="00C92898" w:rsidRPr="00492F82">
        <w:rPr>
          <w:sz w:val="24"/>
          <w:szCs w:val="24"/>
        </w:rPr>
        <w:t>roduction with the leveling off of enrollment growth</w:t>
      </w:r>
      <w:r w:rsidRPr="00492F82">
        <w:rPr>
          <w:sz w:val="24"/>
          <w:szCs w:val="24"/>
        </w:rPr>
        <w:t>.  I</w:t>
      </w:r>
      <w:r w:rsidR="00C92898" w:rsidRPr="00492F82">
        <w:rPr>
          <w:sz w:val="24"/>
          <w:szCs w:val="24"/>
        </w:rPr>
        <w:t>ncreasing degree production will be more dependent upon enhancing persistence to graduation</w:t>
      </w:r>
      <w:r w:rsidR="00CD57E1">
        <w:rPr>
          <w:sz w:val="24"/>
          <w:szCs w:val="24"/>
        </w:rPr>
        <w:t>. Changes to funding incentives, such as Bright Futures, and the elimination of grants ha</w:t>
      </w:r>
      <w:r w:rsidR="000D1B11">
        <w:rPr>
          <w:sz w:val="24"/>
          <w:szCs w:val="24"/>
        </w:rPr>
        <w:t>ve</w:t>
      </w:r>
      <w:r w:rsidR="00CD57E1">
        <w:rPr>
          <w:sz w:val="24"/>
          <w:szCs w:val="24"/>
        </w:rPr>
        <w:t xml:space="preserve"> impacted student ability to finance education</w:t>
      </w:r>
      <w:r w:rsidR="00C92898" w:rsidRPr="00492F82">
        <w:rPr>
          <w:sz w:val="24"/>
          <w:szCs w:val="24"/>
        </w:rPr>
        <w:t>.</w:t>
      </w:r>
      <w:r w:rsidR="00CD57E1">
        <w:rPr>
          <w:sz w:val="24"/>
          <w:szCs w:val="24"/>
        </w:rPr>
        <w:t xml:space="preserve">  Students consistently self-identify </w:t>
      </w:r>
      <w:r w:rsidR="000853FA">
        <w:rPr>
          <w:sz w:val="24"/>
          <w:szCs w:val="24"/>
        </w:rPr>
        <w:t>financial hardship as a reason for withdrawal from the University.</w:t>
      </w:r>
    </w:p>
    <w:p w14:paraId="5939366F" w14:textId="77777777" w:rsidR="003E0894" w:rsidRDefault="00F93B06" w:rsidP="00837E7B">
      <w:pPr>
        <w:tabs>
          <w:tab w:val="left" w:pos="0"/>
        </w:tabs>
        <w:rPr>
          <w:b/>
          <w:sz w:val="24"/>
          <w:szCs w:val="24"/>
        </w:rPr>
      </w:pPr>
      <w:r>
        <w:rPr>
          <w:noProof/>
        </w:rPr>
        <w:drawing>
          <wp:inline distT="0" distB="0" distL="0" distR="0" wp14:anchorId="48B3641F" wp14:editId="2514DD68">
            <wp:extent cx="4839400"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6115" cy="2708854"/>
                    </a:xfrm>
                    <a:prstGeom prst="rect">
                      <a:avLst/>
                    </a:prstGeom>
                  </pic:spPr>
                </pic:pic>
              </a:graphicData>
            </a:graphic>
          </wp:inline>
        </w:drawing>
      </w:r>
    </w:p>
    <w:p w14:paraId="594C1676" w14:textId="3843B689" w:rsidR="00C068F1" w:rsidRPr="00C068F1" w:rsidRDefault="00C068F1" w:rsidP="00837E7B">
      <w:pPr>
        <w:tabs>
          <w:tab w:val="left" w:pos="0"/>
        </w:tabs>
        <w:rPr>
          <w:sz w:val="18"/>
          <w:szCs w:val="18"/>
        </w:rPr>
      </w:pPr>
      <w:r w:rsidRPr="00C068F1">
        <w:rPr>
          <w:sz w:val="18"/>
          <w:szCs w:val="18"/>
        </w:rPr>
        <w:t>Source: Degree Production- Table 1.9 BOTIS Report August 2014</w:t>
      </w:r>
    </w:p>
    <w:p w14:paraId="02EA1E37" w14:textId="77777777" w:rsidR="0052533C" w:rsidRPr="003E0894" w:rsidRDefault="0052533C" w:rsidP="00837E7B">
      <w:pPr>
        <w:tabs>
          <w:tab w:val="left" w:pos="0"/>
        </w:tabs>
        <w:rPr>
          <w:b/>
          <w:sz w:val="24"/>
          <w:szCs w:val="24"/>
        </w:rPr>
      </w:pPr>
      <w:r>
        <w:rPr>
          <w:i/>
          <w:sz w:val="24"/>
          <w:szCs w:val="24"/>
        </w:rPr>
        <w:t>Funding</w:t>
      </w:r>
    </w:p>
    <w:p w14:paraId="6A95C7F2" w14:textId="4284308D" w:rsidR="003335D9" w:rsidRDefault="00CD5341" w:rsidP="00837E7B">
      <w:pPr>
        <w:tabs>
          <w:tab w:val="left" w:pos="0"/>
        </w:tabs>
        <w:rPr>
          <w:sz w:val="24"/>
          <w:szCs w:val="24"/>
        </w:rPr>
      </w:pPr>
      <w:r>
        <w:rPr>
          <w:sz w:val="24"/>
          <w:szCs w:val="24"/>
        </w:rPr>
        <w:t>Anticipated lack of funding for capital pr</w:t>
      </w:r>
      <w:r w:rsidR="00097E0E">
        <w:rPr>
          <w:sz w:val="24"/>
          <w:szCs w:val="24"/>
        </w:rPr>
        <w:t>ojects will continue to pose a challenge</w:t>
      </w:r>
      <w:r>
        <w:rPr>
          <w:sz w:val="24"/>
          <w:szCs w:val="24"/>
        </w:rPr>
        <w:t xml:space="preserve"> to campus improvement and expansion efforts.  University students pay Building Fees and Capital Improvement Fees </w:t>
      </w:r>
      <w:r w:rsidR="00097E0E">
        <w:rPr>
          <w:sz w:val="24"/>
          <w:szCs w:val="24"/>
        </w:rPr>
        <w:t>of</w:t>
      </w:r>
      <w:r>
        <w:rPr>
          <w:sz w:val="24"/>
          <w:szCs w:val="24"/>
        </w:rPr>
        <w:t xml:space="preserve"> $6.76 per credit hour per semester; however, the commitment to maintain a stable tuition and fee rate</w:t>
      </w:r>
      <w:r w:rsidR="0052533C">
        <w:rPr>
          <w:sz w:val="24"/>
          <w:szCs w:val="24"/>
        </w:rPr>
        <w:t>,</w:t>
      </w:r>
      <w:r>
        <w:rPr>
          <w:sz w:val="24"/>
          <w:szCs w:val="24"/>
        </w:rPr>
        <w:t xml:space="preserve"> and the decrease in enrollment projections</w:t>
      </w:r>
      <w:r w:rsidR="0052533C">
        <w:rPr>
          <w:sz w:val="24"/>
          <w:szCs w:val="24"/>
        </w:rPr>
        <w:t>,</w:t>
      </w:r>
      <w:r>
        <w:rPr>
          <w:sz w:val="24"/>
          <w:szCs w:val="24"/>
        </w:rPr>
        <w:t xml:space="preserve"> limits </w:t>
      </w:r>
      <w:r w:rsidR="003E0894">
        <w:rPr>
          <w:sz w:val="24"/>
          <w:szCs w:val="24"/>
        </w:rPr>
        <w:t xml:space="preserve">future growth of </w:t>
      </w:r>
      <w:r w:rsidR="00C068F1">
        <w:rPr>
          <w:sz w:val="24"/>
          <w:szCs w:val="24"/>
        </w:rPr>
        <w:t>this source of funding.  P</w:t>
      </w:r>
      <w:r>
        <w:rPr>
          <w:sz w:val="24"/>
          <w:szCs w:val="24"/>
        </w:rPr>
        <w:t>rojects funded from this student-based source are primarily student-related and typically include outdoor recreation facilities, athletic facilities and student leisure space</w:t>
      </w:r>
      <w:r w:rsidR="00C068F1">
        <w:rPr>
          <w:sz w:val="24"/>
          <w:szCs w:val="24"/>
        </w:rPr>
        <w:t>s</w:t>
      </w:r>
      <w:r>
        <w:rPr>
          <w:sz w:val="24"/>
          <w:szCs w:val="24"/>
        </w:rPr>
        <w:t xml:space="preserve">.  </w:t>
      </w:r>
      <w:r w:rsidR="003E0894">
        <w:rPr>
          <w:sz w:val="24"/>
          <w:szCs w:val="24"/>
        </w:rPr>
        <w:t xml:space="preserve">The existing Campus Recreation Center is inadequate and needs to be expanded.  </w:t>
      </w:r>
      <w:r>
        <w:rPr>
          <w:sz w:val="24"/>
          <w:szCs w:val="24"/>
        </w:rPr>
        <w:t xml:space="preserve">The need for additional classroom, laboratory and chiller plant facilities will remain. </w:t>
      </w:r>
    </w:p>
    <w:p w14:paraId="0F246FF4" w14:textId="4BC913E1" w:rsidR="00135F32" w:rsidRDefault="005F4B2F" w:rsidP="00837E7B">
      <w:pPr>
        <w:tabs>
          <w:tab w:val="left" w:pos="0"/>
        </w:tabs>
        <w:rPr>
          <w:sz w:val="24"/>
          <w:szCs w:val="24"/>
        </w:rPr>
      </w:pPr>
      <w:r>
        <w:rPr>
          <w:sz w:val="24"/>
          <w:szCs w:val="24"/>
        </w:rPr>
        <w:t>The continued reduction in State appropriations, resulting in the heavier reliance upon tuition and fees to support the operating budgets of the universities, p</w:t>
      </w:r>
      <w:r w:rsidR="003E0894">
        <w:rPr>
          <w:sz w:val="24"/>
          <w:szCs w:val="24"/>
        </w:rPr>
        <w:t>resents a long-term challenge,</w:t>
      </w:r>
      <w:r>
        <w:rPr>
          <w:sz w:val="24"/>
          <w:szCs w:val="24"/>
        </w:rPr>
        <w:t xml:space="preserve"> especial</w:t>
      </w:r>
      <w:r w:rsidR="003E0894">
        <w:rPr>
          <w:sz w:val="24"/>
          <w:szCs w:val="24"/>
        </w:rPr>
        <w:t xml:space="preserve">ly with a decrease in enrollment </w:t>
      </w:r>
      <w:r>
        <w:rPr>
          <w:sz w:val="24"/>
          <w:szCs w:val="24"/>
        </w:rPr>
        <w:t>projections.</w:t>
      </w:r>
      <w:r w:rsidR="00F7164E">
        <w:rPr>
          <w:sz w:val="24"/>
          <w:szCs w:val="24"/>
        </w:rPr>
        <w:t xml:space="preserve">  The University Board of Trustees’ continued freeze on tuition increases for FGCU students, combined with this lower projection </w:t>
      </w:r>
      <w:r w:rsidR="00F7164E">
        <w:rPr>
          <w:sz w:val="24"/>
          <w:szCs w:val="24"/>
        </w:rPr>
        <w:lastRenderedPageBreak/>
        <w:t>of student enrollment growth, has the ability to impact sustainability of current programs and services.</w:t>
      </w:r>
    </w:p>
    <w:p w14:paraId="659A7735" w14:textId="77777777" w:rsidR="005F4B2F" w:rsidRDefault="005F4B2F" w:rsidP="00837E7B">
      <w:pPr>
        <w:tabs>
          <w:tab w:val="left" w:pos="0"/>
        </w:tabs>
        <w:rPr>
          <w:sz w:val="24"/>
          <w:szCs w:val="24"/>
        </w:rPr>
      </w:pPr>
      <w:r>
        <w:rPr>
          <w:noProof/>
        </w:rPr>
        <w:drawing>
          <wp:inline distT="0" distB="0" distL="0" distR="0" wp14:anchorId="2C7E9C60" wp14:editId="1041CE31">
            <wp:extent cx="5989320" cy="2501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7805" cy="2543091"/>
                    </a:xfrm>
                    <a:prstGeom prst="rect">
                      <a:avLst/>
                    </a:prstGeom>
                  </pic:spPr>
                </pic:pic>
              </a:graphicData>
            </a:graphic>
          </wp:inline>
        </w:drawing>
      </w:r>
    </w:p>
    <w:p w14:paraId="71DC1F44" w14:textId="77777777" w:rsidR="005F4B2F" w:rsidRPr="00492F82" w:rsidRDefault="005F4B2F" w:rsidP="00837E7B">
      <w:pPr>
        <w:tabs>
          <w:tab w:val="left" w:pos="0"/>
        </w:tabs>
        <w:rPr>
          <w:sz w:val="18"/>
          <w:szCs w:val="18"/>
        </w:rPr>
      </w:pPr>
      <w:r w:rsidRPr="00492F82">
        <w:rPr>
          <w:sz w:val="18"/>
          <w:szCs w:val="18"/>
        </w:rPr>
        <w:t>Source: Board of Governors 2012-2013</w:t>
      </w:r>
      <w:r w:rsidR="001054BA">
        <w:rPr>
          <w:sz w:val="18"/>
          <w:szCs w:val="18"/>
        </w:rPr>
        <w:t xml:space="preserve"> SUS</w:t>
      </w:r>
      <w:r w:rsidRPr="00492F82">
        <w:rPr>
          <w:sz w:val="18"/>
          <w:szCs w:val="18"/>
        </w:rPr>
        <w:t xml:space="preserve"> Annual Accountability Report (January 16, 2014)</w:t>
      </w:r>
      <w:r w:rsidR="001054BA">
        <w:rPr>
          <w:sz w:val="18"/>
          <w:szCs w:val="18"/>
        </w:rPr>
        <w:t xml:space="preserve">; SUS Funding </w:t>
      </w:r>
    </w:p>
    <w:p w14:paraId="06944AC4" w14:textId="725A8434" w:rsidR="00F7164E" w:rsidRDefault="00F7164E" w:rsidP="00837E7B">
      <w:pPr>
        <w:tabs>
          <w:tab w:val="left" w:pos="0"/>
        </w:tabs>
        <w:rPr>
          <w:sz w:val="24"/>
          <w:szCs w:val="24"/>
        </w:rPr>
      </w:pPr>
      <w:r>
        <w:rPr>
          <w:sz w:val="24"/>
          <w:szCs w:val="24"/>
        </w:rPr>
        <w:t xml:space="preserve">Additionally, the surrounding commercial areas bordering FGCU’s campus continue to expand.  While this provides additional options for </w:t>
      </w:r>
      <w:proofErr w:type="gramStart"/>
      <w:r>
        <w:rPr>
          <w:sz w:val="24"/>
          <w:szCs w:val="24"/>
        </w:rPr>
        <w:t>students</w:t>
      </w:r>
      <w:proofErr w:type="gramEnd"/>
      <w:r>
        <w:rPr>
          <w:sz w:val="24"/>
          <w:szCs w:val="24"/>
        </w:rPr>
        <w:t xml:space="preserve"> off-campus, it minimizes the revenue generated by auxiliary services on-campus.</w:t>
      </w:r>
      <w:r w:rsidRPr="00F7164E">
        <w:t xml:space="preserve"> </w:t>
      </w:r>
      <w:r w:rsidRPr="00F7164E">
        <w:rPr>
          <w:sz w:val="24"/>
          <w:szCs w:val="24"/>
        </w:rPr>
        <w:t>A reduced revenue stream could cause a negative impact on bond ratings.</w:t>
      </w:r>
    </w:p>
    <w:p w14:paraId="24A86CF0" w14:textId="77777777" w:rsidR="009376F4" w:rsidRDefault="0052533C" w:rsidP="00837E7B">
      <w:pPr>
        <w:tabs>
          <w:tab w:val="left" w:pos="0"/>
        </w:tabs>
        <w:rPr>
          <w:sz w:val="24"/>
          <w:szCs w:val="24"/>
        </w:rPr>
      </w:pPr>
      <w:r w:rsidRPr="00520483">
        <w:rPr>
          <w:sz w:val="24"/>
          <w:szCs w:val="24"/>
        </w:rPr>
        <w:t>Sponsored research is becoming more competitive against a shrinking pool of federal funds.</w:t>
      </w:r>
    </w:p>
    <w:p w14:paraId="6C680921" w14:textId="66F2D42D" w:rsidR="009376F4" w:rsidRDefault="00296A23" w:rsidP="00837E7B">
      <w:pPr>
        <w:tabs>
          <w:tab w:val="left" w:pos="0"/>
        </w:tabs>
        <w:rPr>
          <w:sz w:val="24"/>
          <w:szCs w:val="24"/>
        </w:rPr>
      </w:pPr>
      <w:r w:rsidRPr="00296A23">
        <w:rPr>
          <w:noProof/>
          <w:sz w:val="24"/>
          <w:szCs w:val="24"/>
        </w:rPr>
        <w:drawing>
          <wp:inline distT="0" distB="0" distL="0" distR="0" wp14:anchorId="0CC2C10E" wp14:editId="2674EF7C">
            <wp:extent cx="5445918" cy="3012281"/>
            <wp:effectExtent l="0" t="0" r="2540"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331DF0" w14:textId="0B146EE9" w:rsidR="009376F4" w:rsidRPr="009376F4" w:rsidRDefault="009376F4" w:rsidP="00837E7B">
      <w:pPr>
        <w:tabs>
          <w:tab w:val="left" w:pos="0"/>
        </w:tabs>
        <w:rPr>
          <w:sz w:val="18"/>
          <w:szCs w:val="18"/>
        </w:rPr>
      </w:pPr>
      <w:r>
        <w:rPr>
          <w:sz w:val="18"/>
          <w:szCs w:val="18"/>
        </w:rPr>
        <w:t xml:space="preserve">Source: </w:t>
      </w:r>
      <w:r w:rsidR="00296A23">
        <w:rPr>
          <w:sz w:val="18"/>
          <w:szCs w:val="18"/>
        </w:rPr>
        <w:t>Office of Research &amp; Sponsored Programs</w:t>
      </w:r>
    </w:p>
    <w:p w14:paraId="3A107035" w14:textId="77777777" w:rsidR="0052533C" w:rsidRDefault="00C92898" w:rsidP="00837E7B">
      <w:pPr>
        <w:tabs>
          <w:tab w:val="left" w:pos="0"/>
        </w:tabs>
        <w:rPr>
          <w:sz w:val="24"/>
          <w:szCs w:val="24"/>
        </w:rPr>
      </w:pPr>
      <w:r w:rsidRPr="00492F82">
        <w:rPr>
          <w:i/>
          <w:sz w:val="24"/>
          <w:szCs w:val="24"/>
        </w:rPr>
        <w:lastRenderedPageBreak/>
        <w:t>Access</w:t>
      </w:r>
      <w:r w:rsidRPr="00492F82">
        <w:rPr>
          <w:sz w:val="24"/>
          <w:szCs w:val="24"/>
        </w:rPr>
        <w:t xml:space="preserve"> </w:t>
      </w:r>
    </w:p>
    <w:p w14:paraId="23AD6A03" w14:textId="7C43B047" w:rsidR="00C92898" w:rsidRDefault="0052533C" w:rsidP="00837E7B">
      <w:pPr>
        <w:tabs>
          <w:tab w:val="left" w:pos="0"/>
        </w:tabs>
        <w:rPr>
          <w:sz w:val="24"/>
          <w:szCs w:val="24"/>
        </w:rPr>
      </w:pPr>
      <w:r>
        <w:rPr>
          <w:sz w:val="24"/>
          <w:szCs w:val="24"/>
        </w:rPr>
        <w:t>I</w:t>
      </w:r>
      <w:r w:rsidR="00C92898" w:rsidRPr="00492F82">
        <w:rPr>
          <w:sz w:val="24"/>
          <w:szCs w:val="24"/>
        </w:rPr>
        <w:t>nc</w:t>
      </w:r>
      <w:r w:rsidR="00BD6810">
        <w:rPr>
          <w:sz w:val="24"/>
          <w:szCs w:val="24"/>
        </w:rPr>
        <w:t>reasing the selectivity of the U</w:t>
      </w:r>
      <w:r w:rsidR="00C92898" w:rsidRPr="00492F82">
        <w:rPr>
          <w:sz w:val="24"/>
          <w:szCs w:val="24"/>
        </w:rPr>
        <w:t>niversity and limiting enrollment due to space constraints may lead to reduced opportunities for prospective students.</w:t>
      </w:r>
      <w:r w:rsidR="00142D13">
        <w:rPr>
          <w:sz w:val="24"/>
          <w:szCs w:val="24"/>
        </w:rPr>
        <w:t xml:space="preserve">  The number of undergraduate applications received for the 201</w:t>
      </w:r>
      <w:r w:rsidR="0074191F">
        <w:rPr>
          <w:sz w:val="24"/>
          <w:szCs w:val="24"/>
        </w:rPr>
        <w:t xml:space="preserve"> </w:t>
      </w:r>
      <w:r w:rsidR="00142D13">
        <w:rPr>
          <w:sz w:val="24"/>
          <w:szCs w:val="24"/>
        </w:rPr>
        <w:t xml:space="preserve">4-2015 year exceeded the previous year by </w:t>
      </w:r>
      <w:r w:rsidR="00F37F7F">
        <w:rPr>
          <w:sz w:val="24"/>
          <w:szCs w:val="24"/>
        </w:rPr>
        <w:t>24</w:t>
      </w:r>
      <w:r w:rsidR="00C565E3">
        <w:rPr>
          <w:sz w:val="24"/>
          <w:szCs w:val="24"/>
        </w:rPr>
        <w:t>%</w:t>
      </w:r>
      <w:r w:rsidR="00142D13">
        <w:rPr>
          <w:sz w:val="24"/>
          <w:szCs w:val="24"/>
        </w:rPr>
        <w:t>.  Additionally, the average freshman profile had a high school GPA of 3.68 (up from 3.40 in 2012-</w:t>
      </w:r>
      <w:commentRangeStart w:id="0"/>
      <w:r w:rsidR="00142D13">
        <w:rPr>
          <w:sz w:val="24"/>
          <w:szCs w:val="24"/>
        </w:rPr>
        <w:t>2013</w:t>
      </w:r>
      <w:commentRangeEnd w:id="0"/>
      <w:r w:rsidR="001C6E7C">
        <w:rPr>
          <w:rStyle w:val="CommentReference"/>
        </w:rPr>
        <w:commentReference w:id="0"/>
      </w:r>
      <w:r w:rsidR="00142D13">
        <w:rPr>
          <w:sz w:val="24"/>
          <w:szCs w:val="24"/>
        </w:rPr>
        <w:t>).</w:t>
      </w:r>
      <w:r w:rsidR="00BD6810">
        <w:rPr>
          <w:sz w:val="24"/>
          <w:szCs w:val="24"/>
        </w:rPr>
        <w:t xml:space="preserve"> Programs and services are tasked with retention of these students.</w:t>
      </w:r>
    </w:p>
    <w:p w14:paraId="4EC8B6E0" w14:textId="77777777" w:rsidR="00F93B06" w:rsidRDefault="00F93B06" w:rsidP="00837E7B">
      <w:pPr>
        <w:tabs>
          <w:tab w:val="left" w:pos="0"/>
        </w:tabs>
        <w:rPr>
          <w:b/>
          <w:sz w:val="24"/>
          <w:szCs w:val="24"/>
        </w:rPr>
      </w:pPr>
      <w:r>
        <w:rPr>
          <w:noProof/>
        </w:rPr>
        <w:drawing>
          <wp:inline distT="0" distB="0" distL="0" distR="0" wp14:anchorId="7893D764" wp14:editId="5ABB1CA0">
            <wp:extent cx="5334000" cy="2770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8083" cy="2783227"/>
                    </a:xfrm>
                    <a:prstGeom prst="rect">
                      <a:avLst/>
                    </a:prstGeom>
                  </pic:spPr>
                </pic:pic>
              </a:graphicData>
            </a:graphic>
          </wp:inline>
        </w:drawing>
      </w:r>
    </w:p>
    <w:p w14:paraId="0C248D86" w14:textId="62937A31" w:rsidR="00E30543" w:rsidRPr="00296A23" w:rsidRDefault="00E30543" w:rsidP="00837E7B">
      <w:pPr>
        <w:tabs>
          <w:tab w:val="left" w:pos="0"/>
        </w:tabs>
        <w:rPr>
          <w:sz w:val="18"/>
          <w:szCs w:val="18"/>
        </w:rPr>
      </w:pPr>
      <w:r w:rsidRPr="00296A23">
        <w:rPr>
          <w:sz w:val="18"/>
          <w:szCs w:val="18"/>
        </w:rPr>
        <w:t>Source: FGCU Board of Trustees Information System Report</w:t>
      </w:r>
    </w:p>
    <w:p w14:paraId="051C9BA6" w14:textId="77777777" w:rsidR="00091A52" w:rsidRDefault="00091A52" w:rsidP="00837E7B">
      <w:pPr>
        <w:tabs>
          <w:tab w:val="left" w:pos="0"/>
        </w:tabs>
        <w:rPr>
          <w:sz w:val="24"/>
          <w:szCs w:val="24"/>
        </w:rPr>
      </w:pPr>
      <w:r>
        <w:rPr>
          <w:sz w:val="24"/>
          <w:szCs w:val="24"/>
        </w:rPr>
        <w:t>Although the total number of undergraduate applications has increased, FGCU has seen a decline in regional transfer students from the nearest State College System institution, in large part, due to the establishment of baccalaureate programming in workforce-oriented disciplines (to include education, nursing, and management).  As a result, students who traditionally selected FGCU as their transfer institution of choice due to location, connection to the community, and inability to relocate for continuing education, have alternate cost-effective options within the FGCU region.</w:t>
      </w:r>
    </w:p>
    <w:p w14:paraId="553CA529" w14:textId="62C14FF9" w:rsidR="00AA36BC" w:rsidRDefault="005F4B2F" w:rsidP="00837E7B">
      <w:pPr>
        <w:tabs>
          <w:tab w:val="left" w:pos="0"/>
        </w:tabs>
        <w:rPr>
          <w:i/>
          <w:sz w:val="24"/>
          <w:szCs w:val="24"/>
        </w:rPr>
      </w:pPr>
      <w:r w:rsidRPr="00492F82">
        <w:rPr>
          <w:sz w:val="24"/>
          <w:szCs w:val="24"/>
        </w:rPr>
        <w:t xml:space="preserve">FGCU has the second highest out-of-state </w:t>
      </w:r>
      <w:r w:rsidR="001C6E7C">
        <w:rPr>
          <w:sz w:val="24"/>
          <w:szCs w:val="24"/>
        </w:rPr>
        <w:t xml:space="preserve">undergraduate </w:t>
      </w:r>
      <w:r w:rsidRPr="00492F82">
        <w:rPr>
          <w:sz w:val="24"/>
          <w:szCs w:val="24"/>
        </w:rPr>
        <w:t>tuition rate</w:t>
      </w:r>
      <w:r w:rsidR="00CD57E1">
        <w:rPr>
          <w:sz w:val="24"/>
          <w:szCs w:val="24"/>
        </w:rPr>
        <w:t>,</w:t>
      </w:r>
      <w:r w:rsidR="00CD57E1" w:rsidRPr="00CD57E1">
        <w:rPr>
          <w:sz w:val="24"/>
          <w:szCs w:val="24"/>
        </w:rPr>
        <w:t xml:space="preserve"> </w:t>
      </w:r>
      <w:r w:rsidR="00CD57E1">
        <w:rPr>
          <w:sz w:val="24"/>
          <w:szCs w:val="24"/>
        </w:rPr>
        <w:t>and the highest out-of-state graduate level tuition rate,</w:t>
      </w:r>
      <w:r w:rsidRPr="00492F82">
        <w:rPr>
          <w:sz w:val="24"/>
          <w:szCs w:val="24"/>
        </w:rPr>
        <w:t xml:space="preserve"> within the State University System</w:t>
      </w:r>
      <w:r>
        <w:rPr>
          <w:sz w:val="24"/>
          <w:szCs w:val="24"/>
        </w:rPr>
        <w:t xml:space="preserve"> (</w:t>
      </w:r>
      <w:r w:rsidR="00CD57E1">
        <w:rPr>
          <w:sz w:val="24"/>
          <w:szCs w:val="24"/>
        </w:rPr>
        <w:t xml:space="preserve">respectively </w:t>
      </w:r>
      <w:r>
        <w:rPr>
          <w:sz w:val="24"/>
          <w:szCs w:val="24"/>
        </w:rPr>
        <w:t xml:space="preserve">$838.73 </w:t>
      </w:r>
      <w:r w:rsidR="00CD57E1">
        <w:rPr>
          <w:sz w:val="24"/>
          <w:szCs w:val="24"/>
        </w:rPr>
        <w:t xml:space="preserve">and $1,232.40 </w:t>
      </w:r>
      <w:r>
        <w:rPr>
          <w:sz w:val="24"/>
          <w:szCs w:val="24"/>
        </w:rPr>
        <w:t>per credit hour</w:t>
      </w:r>
      <w:r w:rsidR="00142D13">
        <w:rPr>
          <w:sz w:val="24"/>
          <w:szCs w:val="24"/>
        </w:rPr>
        <w:t xml:space="preserve"> in 2014-2015</w:t>
      </w:r>
      <w:r>
        <w:rPr>
          <w:sz w:val="24"/>
          <w:szCs w:val="24"/>
        </w:rPr>
        <w:t>)</w:t>
      </w:r>
      <w:r w:rsidRPr="00492F82">
        <w:rPr>
          <w:sz w:val="24"/>
          <w:szCs w:val="24"/>
        </w:rPr>
        <w:t xml:space="preserve">.  </w:t>
      </w:r>
      <w:r w:rsidR="009F15E0" w:rsidRPr="00492F82">
        <w:rPr>
          <w:sz w:val="24"/>
          <w:szCs w:val="24"/>
        </w:rPr>
        <w:t>Tuition and fees are prohibitive to many out-of-state students</w:t>
      </w:r>
      <w:r w:rsidRPr="00492F82">
        <w:rPr>
          <w:sz w:val="24"/>
          <w:szCs w:val="24"/>
        </w:rPr>
        <w:t>, making it somewhat challenging to recruit students who have not yet established Florida residency or who are residents outside</w:t>
      </w:r>
      <w:r w:rsidR="00142D13" w:rsidRPr="00142D13">
        <w:rPr>
          <w:sz w:val="24"/>
          <w:szCs w:val="24"/>
        </w:rPr>
        <w:t xml:space="preserve"> of Florida</w:t>
      </w:r>
      <w:r w:rsidR="00AA36BC">
        <w:rPr>
          <w:sz w:val="24"/>
          <w:szCs w:val="24"/>
        </w:rPr>
        <w:t>.  Out-of-State students add diversity and enhanced selectivity to the student body and have the potential to increase institutional revenue at a time of constrained revenue growth.</w:t>
      </w:r>
    </w:p>
    <w:p w14:paraId="1298F38F" w14:textId="77777777" w:rsidR="00AA36BC" w:rsidRDefault="00AA36BC" w:rsidP="00837E7B">
      <w:pPr>
        <w:tabs>
          <w:tab w:val="left" w:pos="0"/>
          <w:tab w:val="left" w:pos="3864"/>
        </w:tabs>
        <w:rPr>
          <w:sz w:val="24"/>
          <w:szCs w:val="24"/>
        </w:rPr>
      </w:pPr>
      <w:r>
        <w:rPr>
          <w:sz w:val="24"/>
          <w:szCs w:val="24"/>
        </w:rPr>
        <w:tab/>
      </w:r>
    </w:p>
    <w:p w14:paraId="10C46A60" w14:textId="77777777" w:rsidR="0052533C" w:rsidRPr="00492F82" w:rsidRDefault="00BE69E2" w:rsidP="00837E7B">
      <w:pPr>
        <w:tabs>
          <w:tab w:val="left" w:pos="0"/>
        </w:tabs>
        <w:rPr>
          <w:i/>
          <w:sz w:val="24"/>
          <w:szCs w:val="24"/>
        </w:rPr>
      </w:pPr>
      <w:r w:rsidRPr="00AA36BC">
        <w:rPr>
          <w:sz w:val="24"/>
          <w:szCs w:val="24"/>
        </w:rPr>
        <w:br w:type="page"/>
      </w:r>
      <w:r w:rsidR="0052533C" w:rsidRPr="00492F82">
        <w:rPr>
          <w:i/>
          <w:sz w:val="24"/>
          <w:szCs w:val="24"/>
        </w:rPr>
        <w:lastRenderedPageBreak/>
        <w:t>Technology Resources</w:t>
      </w:r>
    </w:p>
    <w:p w14:paraId="5A31ABE8" w14:textId="77777777" w:rsidR="00F93B06" w:rsidRDefault="00E05ABE" w:rsidP="000D1B11">
      <w:pPr>
        <w:tabs>
          <w:tab w:val="left" w:pos="0"/>
        </w:tabs>
        <w:rPr>
          <w:sz w:val="24"/>
          <w:szCs w:val="24"/>
        </w:rPr>
      </w:pPr>
      <w:r>
        <w:rPr>
          <w:noProof/>
        </w:rPr>
        <w:drawing>
          <wp:anchor distT="0" distB="0" distL="114300" distR="114300" simplePos="0" relativeHeight="251665408" behindDoc="0" locked="0" layoutInCell="1" allowOverlap="1" wp14:anchorId="5746055C" wp14:editId="34486F18">
            <wp:simplePos x="0" y="0"/>
            <wp:positionH relativeFrom="margin">
              <wp:align>center</wp:align>
            </wp:positionH>
            <wp:positionV relativeFrom="paragraph">
              <wp:posOffset>1061085</wp:posOffset>
            </wp:positionV>
            <wp:extent cx="4648200" cy="390144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48200" cy="3901440"/>
                    </a:xfrm>
                    <a:prstGeom prst="rect">
                      <a:avLst/>
                    </a:prstGeom>
                  </pic:spPr>
                </pic:pic>
              </a:graphicData>
            </a:graphic>
          </wp:anchor>
        </w:drawing>
      </w:r>
      <w:r w:rsidR="005F4B2F" w:rsidRPr="00492F82">
        <w:rPr>
          <w:sz w:val="24"/>
          <w:szCs w:val="24"/>
        </w:rPr>
        <w:t xml:space="preserve">Although the information technology infrastructure at FGCU represents an inherent strength, the number of </w:t>
      </w:r>
      <w:r w:rsidR="009F15E0" w:rsidRPr="00492F82">
        <w:rPr>
          <w:sz w:val="24"/>
          <w:szCs w:val="24"/>
        </w:rPr>
        <w:t xml:space="preserve">IT staff </w:t>
      </w:r>
      <w:r w:rsidR="005F4B2F" w:rsidRPr="00492F82">
        <w:rPr>
          <w:sz w:val="24"/>
          <w:szCs w:val="24"/>
        </w:rPr>
        <w:t xml:space="preserve">is </w:t>
      </w:r>
      <w:r w:rsidR="009F15E0" w:rsidRPr="00492F82">
        <w:rPr>
          <w:sz w:val="24"/>
          <w:szCs w:val="24"/>
        </w:rPr>
        <w:t xml:space="preserve">not large enough to </w:t>
      </w:r>
      <w:r w:rsidR="005F4B2F" w:rsidRPr="00492F82">
        <w:rPr>
          <w:sz w:val="24"/>
          <w:szCs w:val="24"/>
        </w:rPr>
        <w:t>sustain the current level of</w:t>
      </w:r>
      <w:r w:rsidR="009F15E0" w:rsidRPr="00492F82">
        <w:rPr>
          <w:sz w:val="24"/>
          <w:szCs w:val="24"/>
        </w:rPr>
        <w:t xml:space="preserve"> IT services</w:t>
      </w:r>
      <w:r w:rsidR="00B416F5">
        <w:rPr>
          <w:sz w:val="24"/>
          <w:szCs w:val="24"/>
        </w:rPr>
        <w:t xml:space="preserve"> specifically in the areas of information security, information systems and applications, and educational technology and services</w:t>
      </w:r>
      <w:r w:rsidR="009F15E0" w:rsidRPr="00492F82">
        <w:rPr>
          <w:sz w:val="24"/>
          <w:szCs w:val="24"/>
        </w:rPr>
        <w:t>.</w:t>
      </w:r>
      <w:r w:rsidR="00B416F5">
        <w:rPr>
          <w:sz w:val="24"/>
          <w:szCs w:val="24"/>
        </w:rPr>
        <w:t xml:space="preserve"> Retention of IT staff should also be considered.</w:t>
      </w:r>
      <w:r w:rsidR="0071462E" w:rsidRPr="005F4B2F">
        <w:rPr>
          <w:sz w:val="24"/>
          <w:szCs w:val="24"/>
        </w:rPr>
        <w:t xml:space="preserve"> </w:t>
      </w:r>
    </w:p>
    <w:p w14:paraId="21321C93" w14:textId="2D25EC95" w:rsidR="001C6E7C" w:rsidRDefault="00E30543" w:rsidP="00837E7B">
      <w:pPr>
        <w:tabs>
          <w:tab w:val="left" w:pos="0"/>
        </w:tabs>
        <w:ind w:left="720"/>
        <w:rPr>
          <w:sz w:val="24"/>
          <w:szCs w:val="24"/>
        </w:rPr>
      </w:pPr>
      <w:r>
        <w:rPr>
          <w:sz w:val="24"/>
          <w:szCs w:val="24"/>
        </w:rPr>
        <w:t>Source: Information Resource Committee of the Planning and Budget Council.</w:t>
      </w:r>
      <w:bookmarkStart w:id="1" w:name="_GoBack"/>
      <w:bookmarkEnd w:id="1"/>
    </w:p>
    <w:p w14:paraId="1A7EFE2F" w14:textId="7791ED45" w:rsidR="001C6E7C" w:rsidRPr="000853FA" w:rsidRDefault="000853FA" w:rsidP="00837E7B">
      <w:pPr>
        <w:tabs>
          <w:tab w:val="left" w:pos="0"/>
        </w:tabs>
        <w:ind w:left="720"/>
        <w:rPr>
          <w:b/>
          <w:sz w:val="24"/>
          <w:szCs w:val="24"/>
        </w:rPr>
      </w:pPr>
      <w:r w:rsidRPr="000853FA">
        <w:rPr>
          <w:b/>
          <w:sz w:val="24"/>
          <w:szCs w:val="24"/>
        </w:rPr>
        <w:t>Summary</w:t>
      </w:r>
    </w:p>
    <w:p w14:paraId="74BFA7B6" w14:textId="34BDBCDA" w:rsidR="000853FA" w:rsidRPr="00A9248F" w:rsidRDefault="000853FA" w:rsidP="00837E7B">
      <w:pPr>
        <w:tabs>
          <w:tab w:val="left" w:pos="0"/>
        </w:tabs>
        <w:ind w:left="720"/>
        <w:rPr>
          <w:sz w:val="24"/>
          <w:szCs w:val="24"/>
        </w:rPr>
      </w:pPr>
      <w:r>
        <w:rPr>
          <w:sz w:val="24"/>
          <w:szCs w:val="24"/>
        </w:rPr>
        <w:t xml:space="preserve">As reflected throughout the Internal Scan, FGCU has many accomplishments to celebrate, strengths to promote, and opportunities to pursue and capitalize upon.  However, it is necessary to recognize the current and future challenges that may pose a threat these endeavors.  New initiatives, enhanced marketing, identification of funding sources, and retention of stronger students provide a positive foundation for these efforts.  </w:t>
      </w:r>
      <w:r w:rsidR="000B6E6F">
        <w:rPr>
          <w:sz w:val="24"/>
          <w:szCs w:val="24"/>
        </w:rPr>
        <w:t>As FGCU prepares for the next five years it will consider all of these factors that provide the context for its ongoing plans.</w:t>
      </w:r>
    </w:p>
    <w:sectPr w:rsidR="000853FA" w:rsidRPr="00A9248F" w:rsidSect="00F163BB">
      <w:headerReference w:type="default" r:id="rId31"/>
      <w:footerReference w:type="default" r:id="rId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enefield, Lenore" w:date="2014-11-21T12:42:00Z" w:initials="BL">
    <w:p w14:paraId="1BB2D278" w14:textId="79D308D7" w:rsidR="001C6E7C" w:rsidRDefault="001C6E7C">
      <w:pPr>
        <w:pStyle w:val="CommentText"/>
      </w:pPr>
      <w:r>
        <w:rPr>
          <w:rStyle w:val="CommentReference"/>
        </w:rPr>
        <w:annotationRef/>
      </w:r>
      <w:r>
        <w:t>Add something about shaping this class.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B2D2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8A647" w14:textId="77777777" w:rsidR="00127557" w:rsidRDefault="00127557" w:rsidP="005718F2">
      <w:pPr>
        <w:spacing w:after="0" w:line="240" w:lineRule="auto"/>
      </w:pPr>
      <w:r>
        <w:separator/>
      </w:r>
    </w:p>
  </w:endnote>
  <w:endnote w:type="continuationSeparator" w:id="0">
    <w:p w14:paraId="65BA6AA9" w14:textId="77777777" w:rsidR="00127557" w:rsidRDefault="00127557" w:rsidP="00571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nited Serif Rg Hv">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841110"/>
      <w:docPartObj>
        <w:docPartGallery w:val="Page Numbers (Bottom of Page)"/>
        <w:docPartUnique/>
      </w:docPartObj>
    </w:sdtPr>
    <w:sdtEndPr/>
    <w:sdtContent>
      <w:p w14:paraId="3CFBFD50" w14:textId="77777777" w:rsidR="002A0178" w:rsidRDefault="002A0178">
        <w:pPr>
          <w:pStyle w:val="Footer"/>
        </w:pPr>
        <w:r>
          <w:t xml:space="preserve">Page | </w:t>
        </w:r>
        <w:r w:rsidR="00CB3F59">
          <w:fldChar w:fldCharType="begin"/>
        </w:r>
        <w:r w:rsidR="00CB3F59">
          <w:instrText xml:space="preserve"> PAGE   \* MERGEFORMAT </w:instrText>
        </w:r>
        <w:r w:rsidR="00CB3F59">
          <w:fldChar w:fldCharType="separate"/>
        </w:r>
        <w:r w:rsidR="000D1B11">
          <w:rPr>
            <w:noProof/>
          </w:rPr>
          <w:t>22</w:t>
        </w:r>
        <w:r w:rsidR="00CB3F59">
          <w:rPr>
            <w:noProof/>
          </w:rPr>
          <w:fldChar w:fldCharType="end"/>
        </w:r>
      </w:p>
    </w:sdtContent>
  </w:sdt>
  <w:p w14:paraId="2A31BB08" w14:textId="77777777" w:rsidR="002A0178" w:rsidRDefault="002A01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954B1" w14:textId="77777777" w:rsidR="00127557" w:rsidRDefault="00127557" w:rsidP="005718F2">
      <w:pPr>
        <w:spacing w:after="0" w:line="240" w:lineRule="auto"/>
      </w:pPr>
      <w:r>
        <w:separator/>
      </w:r>
    </w:p>
  </w:footnote>
  <w:footnote w:type="continuationSeparator" w:id="0">
    <w:p w14:paraId="3609D3EB" w14:textId="77777777" w:rsidR="00127557" w:rsidRDefault="00127557" w:rsidP="00571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791704"/>
      <w:docPartObj>
        <w:docPartGallery w:val="Watermarks"/>
        <w:docPartUnique/>
      </w:docPartObj>
    </w:sdtPr>
    <w:sdtEndPr/>
    <w:sdtContent>
      <w:p w14:paraId="2BAB2081" w14:textId="77777777" w:rsidR="00AA36BC" w:rsidRDefault="00127557">
        <w:pPr>
          <w:pStyle w:val="Header"/>
        </w:pPr>
        <w:r>
          <w:rPr>
            <w:noProof/>
          </w:rPr>
          <w:pict w14:anchorId="30171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60967" o:spid="_x0000_s2049" type="#_x0000_t136" style="position:absolute;margin-left:0;margin-top:0;width:412.4pt;height:247.4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efield, Lenore">
    <w15:presenceInfo w15:providerId="AD" w15:userId="S-1-5-21-2136284941-1607561220-102967255-35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4D5"/>
    <w:rsid w:val="00003483"/>
    <w:rsid w:val="00014413"/>
    <w:rsid w:val="00022887"/>
    <w:rsid w:val="00042246"/>
    <w:rsid w:val="00052ED4"/>
    <w:rsid w:val="00076627"/>
    <w:rsid w:val="00080107"/>
    <w:rsid w:val="00081A3A"/>
    <w:rsid w:val="000853FA"/>
    <w:rsid w:val="00091A52"/>
    <w:rsid w:val="00096BA1"/>
    <w:rsid w:val="00097E0E"/>
    <w:rsid w:val="000A2A74"/>
    <w:rsid w:val="000A2BFA"/>
    <w:rsid w:val="000B6E6F"/>
    <w:rsid w:val="000B7CC0"/>
    <w:rsid w:val="000D1B11"/>
    <w:rsid w:val="000E106F"/>
    <w:rsid w:val="000E1813"/>
    <w:rsid w:val="000E1CB9"/>
    <w:rsid w:val="000F2597"/>
    <w:rsid w:val="000F3DDF"/>
    <w:rsid w:val="001054BA"/>
    <w:rsid w:val="00112A5D"/>
    <w:rsid w:val="001263CB"/>
    <w:rsid w:val="00127557"/>
    <w:rsid w:val="00130681"/>
    <w:rsid w:val="00135F32"/>
    <w:rsid w:val="00142D13"/>
    <w:rsid w:val="00144D7D"/>
    <w:rsid w:val="0015497D"/>
    <w:rsid w:val="0015660B"/>
    <w:rsid w:val="00164407"/>
    <w:rsid w:val="00174C6C"/>
    <w:rsid w:val="00186BAD"/>
    <w:rsid w:val="00194A18"/>
    <w:rsid w:val="00195986"/>
    <w:rsid w:val="001A5152"/>
    <w:rsid w:val="001A7106"/>
    <w:rsid w:val="001B00F8"/>
    <w:rsid w:val="001B6C46"/>
    <w:rsid w:val="001B7E72"/>
    <w:rsid w:val="001C5BDA"/>
    <w:rsid w:val="001C6A70"/>
    <w:rsid w:val="001C6E7C"/>
    <w:rsid w:val="001D01CB"/>
    <w:rsid w:val="001D19CA"/>
    <w:rsid w:val="001D3FB8"/>
    <w:rsid w:val="001F612D"/>
    <w:rsid w:val="00202690"/>
    <w:rsid w:val="00206041"/>
    <w:rsid w:val="00231C3A"/>
    <w:rsid w:val="0024389B"/>
    <w:rsid w:val="00252A02"/>
    <w:rsid w:val="002662F9"/>
    <w:rsid w:val="00273F23"/>
    <w:rsid w:val="00274CA4"/>
    <w:rsid w:val="00290EA0"/>
    <w:rsid w:val="00296A23"/>
    <w:rsid w:val="002A0178"/>
    <w:rsid w:val="002A20FF"/>
    <w:rsid w:val="002A7E82"/>
    <w:rsid w:val="002B1058"/>
    <w:rsid w:val="002B6F1F"/>
    <w:rsid w:val="002D026F"/>
    <w:rsid w:val="003159B0"/>
    <w:rsid w:val="0031601F"/>
    <w:rsid w:val="003230BA"/>
    <w:rsid w:val="003335D9"/>
    <w:rsid w:val="0034110F"/>
    <w:rsid w:val="003473E8"/>
    <w:rsid w:val="00360519"/>
    <w:rsid w:val="00372744"/>
    <w:rsid w:val="00376657"/>
    <w:rsid w:val="00383B91"/>
    <w:rsid w:val="00392257"/>
    <w:rsid w:val="003A33AB"/>
    <w:rsid w:val="003A60AB"/>
    <w:rsid w:val="003C279B"/>
    <w:rsid w:val="003C67D9"/>
    <w:rsid w:val="003D1C28"/>
    <w:rsid w:val="003D5A42"/>
    <w:rsid w:val="003E0894"/>
    <w:rsid w:val="003E1528"/>
    <w:rsid w:val="003E6B01"/>
    <w:rsid w:val="003F0943"/>
    <w:rsid w:val="003F516C"/>
    <w:rsid w:val="003F52F5"/>
    <w:rsid w:val="00403A99"/>
    <w:rsid w:val="004047BA"/>
    <w:rsid w:val="0040770B"/>
    <w:rsid w:val="004171F2"/>
    <w:rsid w:val="004230E5"/>
    <w:rsid w:val="004269B3"/>
    <w:rsid w:val="0043695D"/>
    <w:rsid w:val="00440B65"/>
    <w:rsid w:val="00492F82"/>
    <w:rsid w:val="004B7E26"/>
    <w:rsid w:val="004D6B8A"/>
    <w:rsid w:val="004F4C1C"/>
    <w:rsid w:val="004F4E3E"/>
    <w:rsid w:val="004F6615"/>
    <w:rsid w:val="004F7A59"/>
    <w:rsid w:val="00505159"/>
    <w:rsid w:val="00507D41"/>
    <w:rsid w:val="005249ED"/>
    <w:rsid w:val="0052533C"/>
    <w:rsid w:val="00530A78"/>
    <w:rsid w:val="005349BD"/>
    <w:rsid w:val="00536AC8"/>
    <w:rsid w:val="00537F79"/>
    <w:rsid w:val="005718F2"/>
    <w:rsid w:val="00571E65"/>
    <w:rsid w:val="00573895"/>
    <w:rsid w:val="00582C87"/>
    <w:rsid w:val="00585B80"/>
    <w:rsid w:val="005A195B"/>
    <w:rsid w:val="005A7BA2"/>
    <w:rsid w:val="005D5FA0"/>
    <w:rsid w:val="005D7C49"/>
    <w:rsid w:val="005F0A53"/>
    <w:rsid w:val="005F285A"/>
    <w:rsid w:val="005F4B2F"/>
    <w:rsid w:val="00607937"/>
    <w:rsid w:val="0062733C"/>
    <w:rsid w:val="0063140C"/>
    <w:rsid w:val="00637C5A"/>
    <w:rsid w:val="00651B98"/>
    <w:rsid w:val="006557B8"/>
    <w:rsid w:val="006632FC"/>
    <w:rsid w:val="00666225"/>
    <w:rsid w:val="006668FF"/>
    <w:rsid w:val="00683817"/>
    <w:rsid w:val="00691791"/>
    <w:rsid w:val="006A38EC"/>
    <w:rsid w:val="006A63DD"/>
    <w:rsid w:val="006B098C"/>
    <w:rsid w:val="006C1CAF"/>
    <w:rsid w:val="006D45F3"/>
    <w:rsid w:val="006E1C5A"/>
    <w:rsid w:val="006E378B"/>
    <w:rsid w:val="006E6372"/>
    <w:rsid w:val="0071462E"/>
    <w:rsid w:val="00724C2A"/>
    <w:rsid w:val="0073368F"/>
    <w:rsid w:val="0074191F"/>
    <w:rsid w:val="0074402D"/>
    <w:rsid w:val="00751C3B"/>
    <w:rsid w:val="00764793"/>
    <w:rsid w:val="007730B5"/>
    <w:rsid w:val="00783C27"/>
    <w:rsid w:val="007849C9"/>
    <w:rsid w:val="00786012"/>
    <w:rsid w:val="0079620E"/>
    <w:rsid w:val="007A0C8D"/>
    <w:rsid w:val="007A5CBA"/>
    <w:rsid w:val="007D2C86"/>
    <w:rsid w:val="007F025E"/>
    <w:rsid w:val="00825CD2"/>
    <w:rsid w:val="00830402"/>
    <w:rsid w:val="00837E7B"/>
    <w:rsid w:val="00846206"/>
    <w:rsid w:val="00856788"/>
    <w:rsid w:val="00876289"/>
    <w:rsid w:val="00887D5C"/>
    <w:rsid w:val="008A2654"/>
    <w:rsid w:val="008D0BC0"/>
    <w:rsid w:val="008D7A3B"/>
    <w:rsid w:val="008E1214"/>
    <w:rsid w:val="008F14CF"/>
    <w:rsid w:val="00900835"/>
    <w:rsid w:val="00915A2B"/>
    <w:rsid w:val="009164BC"/>
    <w:rsid w:val="00916EDF"/>
    <w:rsid w:val="00923DF9"/>
    <w:rsid w:val="009376F4"/>
    <w:rsid w:val="00973E2B"/>
    <w:rsid w:val="00974A85"/>
    <w:rsid w:val="009752FF"/>
    <w:rsid w:val="009833AE"/>
    <w:rsid w:val="00987BFD"/>
    <w:rsid w:val="0099511E"/>
    <w:rsid w:val="009A1DA2"/>
    <w:rsid w:val="009A3D84"/>
    <w:rsid w:val="009B33E3"/>
    <w:rsid w:val="009C474D"/>
    <w:rsid w:val="009C6375"/>
    <w:rsid w:val="009D0AC8"/>
    <w:rsid w:val="009E334B"/>
    <w:rsid w:val="009F15E0"/>
    <w:rsid w:val="009F3954"/>
    <w:rsid w:val="00A031CB"/>
    <w:rsid w:val="00A07EA9"/>
    <w:rsid w:val="00A40A18"/>
    <w:rsid w:val="00A50221"/>
    <w:rsid w:val="00A5426E"/>
    <w:rsid w:val="00A9248F"/>
    <w:rsid w:val="00A92AB2"/>
    <w:rsid w:val="00A95A8F"/>
    <w:rsid w:val="00AA36BC"/>
    <w:rsid w:val="00AD1E8A"/>
    <w:rsid w:val="00AD45D2"/>
    <w:rsid w:val="00AF16BA"/>
    <w:rsid w:val="00B040FD"/>
    <w:rsid w:val="00B067C7"/>
    <w:rsid w:val="00B11168"/>
    <w:rsid w:val="00B33995"/>
    <w:rsid w:val="00B416F5"/>
    <w:rsid w:val="00B47F13"/>
    <w:rsid w:val="00B66E5B"/>
    <w:rsid w:val="00B74431"/>
    <w:rsid w:val="00B764E0"/>
    <w:rsid w:val="00B778AE"/>
    <w:rsid w:val="00B87535"/>
    <w:rsid w:val="00B92A26"/>
    <w:rsid w:val="00B92B1F"/>
    <w:rsid w:val="00B95122"/>
    <w:rsid w:val="00BA5287"/>
    <w:rsid w:val="00BB2060"/>
    <w:rsid w:val="00BB4C42"/>
    <w:rsid w:val="00BC43DF"/>
    <w:rsid w:val="00BD4B32"/>
    <w:rsid w:val="00BD6810"/>
    <w:rsid w:val="00BE3CAA"/>
    <w:rsid w:val="00BE69E2"/>
    <w:rsid w:val="00BE7278"/>
    <w:rsid w:val="00C068F1"/>
    <w:rsid w:val="00C136E2"/>
    <w:rsid w:val="00C17380"/>
    <w:rsid w:val="00C20640"/>
    <w:rsid w:val="00C219FC"/>
    <w:rsid w:val="00C24DAF"/>
    <w:rsid w:val="00C513F2"/>
    <w:rsid w:val="00C565E3"/>
    <w:rsid w:val="00C56A1A"/>
    <w:rsid w:val="00C5786A"/>
    <w:rsid w:val="00C6738F"/>
    <w:rsid w:val="00C8242A"/>
    <w:rsid w:val="00C83C44"/>
    <w:rsid w:val="00C841F7"/>
    <w:rsid w:val="00C90BB5"/>
    <w:rsid w:val="00C92898"/>
    <w:rsid w:val="00CB3AB7"/>
    <w:rsid w:val="00CB3F59"/>
    <w:rsid w:val="00CB7CBF"/>
    <w:rsid w:val="00CD5341"/>
    <w:rsid w:val="00CD57E1"/>
    <w:rsid w:val="00CE081B"/>
    <w:rsid w:val="00D36D11"/>
    <w:rsid w:val="00D42762"/>
    <w:rsid w:val="00D42F4F"/>
    <w:rsid w:val="00D572A2"/>
    <w:rsid w:val="00D71D3A"/>
    <w:rsid w:val="00D76117"/>
    <w:rsid w:val="00D770A1"/>
    <w:rsid w:val="00D809A4"/>
    <w:rsid w:val="00D854D5"/>
    <w:rsid w:val="00DA0889"/>
    <w:rsid w:val="00DD25AC"/>
    <w:rsid w:val="00DD65A2"/>
    <w:rsid w:val="00DE65F7"/>
    <w:rsid w:val="00DE6AEE"/>
    <w:rsid w:val="00DF18E5"/>
    <w:rsid w:val="00E05ABE"/>
    <w:rsid w:val="00E27530"/>
    <w:rsid w:val="00E30543"/>
    <w:rsid w:val="00E40921"/>
    <w:rsid w:val="00E4711C"/>
    <w:rsid w:val="00E5490A"/>
    <w:rsid w:val="00E63674"/>
    <w:rsid w:val="00E71BDF"/>
    <w:rsid w:val="00EA02A3"/>
    <w:rsid w:val="00EB42C3"/>
    <w:rsid w:val="00EC4885"/>
    <w:rsid w:val="00ED2DF3"/>
    <w:rsid w:val="00EF259F"/>
    <w:rsid w:val="00F06F7F"/>
    <w:rsid w:val="00F163BB"/>
    <w:rsid w:val="00F20059"/>
    <w:rsid w:val="00F26353"/>
    <w:rsid w:val="00F37F7F"/>
    <w:rsid w:val="00F57EA1"/>
    <w:rsid w:val="00F634AF"/>
    <w:rsid w:val="00F71555"/>
    <w:rsid w:val="00F7164E"/>
    <w:rsid w:val="00F93B06"/>
    <w:rsid w:val="00FA153F"/>
    <w:rsid w:val="00FC13B4"/>
    <w:rsid w:val="00FD2864"/>
    <w:rsid w:val="00FE1647"/>
    <w:rsid w:val="00FF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CCFA"/>
  <w15:docId w15:val="{E6960E57-C9B3-4E8A-ABCB-0994432E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8F2"/>
  </w:style>
  <w:style w:type="paragraph" w:styleId="Footer">
    <w:name w:val="footer"/>
    <w:basedOn w:val="Normal"/>
    <w:link w:val="FooterChar"/>
    <w:uiPriority w:val="99"/>
    <w:unhideWhenUsed/>
    <w:rsid w:val="00571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8F2"/>
  </w:style>
  <w:style w:type="paragraph" w:styleId="BalloonText">
    <w:name w:val="Balloon Text"/>
    <w:basedOn w:val="Normal"/>
    <w:link w:val="BalloonTextChar"/>
    <w:uiPriority w:val="99"/>
    <w:semiHidden/>
    <w:unhideWhenUsed/>
    <w:rsid w:val="009C6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375"/>
    <w:rPr>
      <w:rFonts w:ascii="Tahoma" w:hAnsi="Tahoma" w:cs="Tahoma"/>
      <w:sz w:val="16"/>
      <w:szCs w:val="16"/>
    </w:rPr>
  </w:style>
  <w:style w:type="table" w:styleId="TableGrid">
    <w:name w:val="Table Grid"/>
    <w:basedOn w:val="TableNormal"/>
    <w:uiPriority w:val="59"/>
    <w:rsid w:val="002A01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B098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F3954"/>
    <w:pPr>
      <w:ind w:left="720"/>
      <w:contextualSpacing/>
    </w:pPr>
  </w:style>
  <w:style w:type="character" w:customStyle="1" w:styleId="apple-converted-space">
    <w:name w:val="apple-converted-space"/>
    <w:basedOn w:val="DefaultParagraphFont"/>
    <w:rsid w:val="001C5BDA"/>
  </w:style>
  <w:style w:type="character" w:styleId="CommentReference">
    <w:name w:val="annotation reference"/>
    <w:basedOn w:val="DefaultParagraphFont"/>
    <w:uiPriority w:val="99"/>
    <w:semiHidden/>
    <w:unhideWhenUsed/>
    <w:rsid w:val="00B95122"/>
    <w:rPr>
      <w:sz w:val="16"/>
      <w:szCs w:val="16"/>
    </w:rPr>
  </w:style>
  <w:style w:type="paragraph" w:styleId="CommentText">
    <w:name w:val="annotation text"/>
    <w:basedOn w:val="Normal"/>
    <w:link w:val="CommentTextChar"/>
    <w:uiPriority w:val="99"/>
    <w:semiHidden/>
    <w:unhideWhenUsed/>
    <w:rsid w:val="00B95122"/>
    <w:pPr>
      <w:spacing w:line="240" w:lineRule="auto"/>
    </w:pPr>
    <w:rPr>
      <w:sz w:val="20"/>
      <w:szCs w:val="20"/>
    </w:rPr>
  </w:style>
  <w:style w:type="character" w:customStyle="1" w:styleId="CommentTextChar">
    <w:name w:val="Comment Text Char"/>
    <w:basedOn w:val="DefaultParagraphFont"/>
    <w:link w:val="CommentText"/>
    <w:uiPriority w:val="99"/>
    <w:semiHidden/>
    <w:rsid w:val="00B95122"/>
    <w:rPr>
      <w:sz w:val="20"/>
      <w:szCs w:val="20"/>
    </w:rPr>
  </w:style>
  <w:style w:type="paragraph" w:styleId="CommentSubject">
    <w:name w:val="annotation subject"/>
    <w:basedOn w:val="CommentText"/>
    <w:next w:val="CommentText"/>
    <w:link w:val="CommentSubjectChar"/>
    <w:uiPriority w:val="99"/>
    <w:semiHidden/>
    <w:unhideWhenUsed/>
    <w:rsid w:val="00B95122"/>
    <w:rPr>
      <w:b/>
      <w:bCs/>
    </w:rPr>
  </w:style>
  <w:style w:type="character" w:customStyle="1" w:styleId="CommentSubjectChar">
    <w:name w:val="Comment Subject Char"/>
    <w:basedOn w:val="CommentTextChar"/>
    <w:link w:val="CommentSubject"/>
    <w:uiPriority w:val="99"/>
    <w:semiHidden/>
    <w:rsid w:val="00B95122"/>
    <w:rPr>
      <w:b/>
      <w:bCs/>
      <w:sz w:val="20"/>
      <w:szCs w:val="20"/>
    </w:rPr>
  </w:style>
  <w:style w:type="paragraph" w:styleId="FootnoteText">
    <w:name w:val="footnote text"/>
    <w:basedOn w:val="Normal"/>
    <w:link w:val="FootnoteTextChar"/>
    <w:uiPriority w:val="99"/>
    <w:semiHidden/>
    <w:unhideWhenUsed/>
    <w:rsid w:val="004F7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7A59"/>
    <w:rPr>
      <w:sz w:val="20"/>
      <w:szCs w:val="20"/>
    </w:rPr>
  </w:style>
  <w:style w:type="character" w:styleId="FootnoteReference">
    <w:name w:val="footnote reference"/>
    <w:basedOn w:val="DefaultParagraphFont"/>
    <w:uiPriority w:val="99"/>
    <w:semiHidden/>
    <w:unhideWhenUsed/>
    <w:rsid w:val="004F7A59"/>
    <w:rPr>
      <w:vertAlign w:val="superscript"/>
    </w:rPr>
  </w:style>
  <w:style w:type="character" w:customStyle="1" w:styleId="A3">
    <w:name w:val="A3"/>
    <w:basedOn w:val="DefaultParagraphFont"/>
    <w:uiPriority w:val="99"/>
    <w:rsid w:val="0015660B"/>
    <w:rPr>
      <w:rFonts w:ascii="United Serif Rg Hv" w:hAnsi="United Serif Rg Hv" w:hint="defaul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76696">
      <w:bodyDiv w:val="1"/>
      <w:marLeft w:val="0"/>
      <w:marRight w:val="0"/>
      <w:marTop w:val="0"/>
      <w:marBottom w:val="0"/>
      <w:divBdr>
        <w:top w:val="none" w:sz="0" w:space="0" w:color="auto"/>
        <w:left w:val="none" w:sz="0" w:space="0" w:color="auto"/>
        <w:bottom w:val="none" w:sz="0" w:space="0" w:color="auto"/>
        <w:right w:val="none" w:sz="0" w:space="0" w:color="auto"/>
      </w:divBdr>
    </w:div>
    <w:div w:id="601691093">
      <w:bodyDiv w:val="1"/>
      <w:marLeft w:val="0"/>
      <w:marRight w:val="0"/>
      <w:marTop w:val="0"/>
      <w:marBottom w:val="0"/>
      <w:divBdr>
        <w:top w:val="none" w:sz="0" w:space="0" w:color="auto"/>
        <w:left w:val="none" w:sz="0" w:space="0" w:color="auto"/>
        <w:bottom w:val="none" w:sz="0" w:space="0" w:color="auto"/>
        <w:right w:val="none" w:sz="0" w:space="0" w:color="auto"/>
      </w:divBdr>
    </w:div>
    <w:div w:id="746079172">
      <w:bodyDiv w:val="1"/>
      <w:marLeft w:val="0"/>
      <w:marRight w:val="0"/>
      <w:marTop w:val="0"/>
      <w:marBottom w:val="0"/>
      <w:divBdr>
        <w:top w:val="none" w:sz="0" w:space="0" w:color="auto"/>
        <w:left w:val="none" w:sz="0" w:space="0" w:color="auto"/>
        <w:bottom w:val="none" w:sz="0" w:space="0" w:color="auto"/>
        <w:right w:val="none" w:sz="0" w:space="0" w:color="auto"/>
      </w:divBdr>
    </w:div>
    <w:div w:id="895048270">
      <w:bodyDiv w:val="1"/>
      <w:marLeft w:val="0"/>
      <w:marRight w:val="0"/>
      <w:marTop w:val="0"/>
      <w:marBottom w:val="0"/>
      <w:divBdr>
        <w:top w:val="none" w:sz="0" w:space="0" w:color="auto"/>
        <w:left w:val="none" w:sz="0" w:space="0" w:color="auto"/>
        <w:bottom w:val="none" w:sz="0" w:space="0" w:color="auto"/>
        <w:right w:val="none" w:sz="0" w:space="0" w:color="auto"/>
      </w:divBdr>
    </w:div>
    <w:div w:id="1647274080">
      <w:bodyDiv w:val="1"/>
      <w:marLeft w:val="0"/>
      <w:marRight w:val="0"/>
      <w:marTop w:val="0"/>
      <w:marBottom w:val="0"/>
      <w:divBdr>
        <w:top w:val="none" w:sz="0" w:space="0" w:color="auto"/>
        <w:left w:val="none" w:sz="0" w:space="0" w:color="auto"/>
        <w:bottom w:val="none" w:sz="0" w:space="0" w:color="auto"/>
        <w:right w:val="none" w:sz="0" w:space="0" w:color="auto"/>
      </w:divBdr>
    </w:div>
    <w:div w:id="1683051240">
      <w:bodyDiv w:val="1"/>
      <w:marLeft w:val="0"/>
      <w:marRight w:val="0"/>
      <w:marTop w:val="0"/>
      <w:marBottom w:val="0"/>
      <w:divBdr>
        <w:top w:val="none" w:sz="0" w:space="0" w:color="auto"/>
        <w:left w:val="none" w:sz="0" w:space="0" w:color="auto"/>
        <w:bottom w:val="none" w:sz="0" w:space="0" w:color="auto"/>
        <w:right w:val="none" w:sz="0" w:space="0" w:color="auto"/>
      </w:divBdr>
    </w:div>
    <w:div w:id="1790276668">
      <w:bodyDiv w:val="1"/>
      <w:marLeft w:val="0"/>
      <w:marRight w:val="0"/>
      <w:marTop w:val="0"/>
      <w:marBottom w:val="0"/>
      <w:divBdr>
        <w:top w:val="none" w:sz="0" w:space="0" w:color="auto"/>
        <w:left w:val="none" w:sz="0" w:space="0" w:color="auto"/>
        <w:bottom w:val="none" w:sz="0" w:space="0" w:color="auto"/>
        <w:right w:val="none" w:sz="0" w:space="0" w:color="auto"/>
      </w:divBdr>
    </w:div>
    <w:div w:id="211786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diagramQuickStyle" Target="diagrams/quickStyle1.xml"/><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diagramDrawing" Target="diagrams/drawing1.xml"/><Relationship Id="rId28" Type="http://schemas.microsoft.com/office/2011/relationships/commentsExtended" Target="commentsExtended.xml"/><Relationship Id="rId10" Type="http://schemas.openxmlformats.org/officeDocument/2006/relationships/chart" Target="charts/chart2.xml"/><Relationship Id="rId19" Type="http://schemas.openxmlformats.org/officeDocument/2006/relationships/diagramData" Target="diagrams/data1.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comments" Target="comments.xml"/><Relationship Id="rId30" Type="http://schemas.openxmlformats.org/officeDocument/2006/relationships/image" Target="media/image14.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gcu-coral\root\Campus\CrossDept\Planning%20&amp;%20Institutional%20Performance\Internal%20Scan%20supporting%20docs\Supporting%20tables%20for%20insertion\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500860585198821E-2"/>
          <c:y val="5.8823529411764705E-2"/>
          <c:w val="0.89672977624785088"/>
          <c:h val="0.75367647058823883"/>
        </c:manualLayout>
      </c:layout>
      <c:barChart>
        <c:barDir val="col"/>
        <c:grouping val="stacked"/>
        <c:varyColors val="0"/>
        <c:ser>
          <c:idx val="0"/>
          <c:order val="0"/>
          <c:tx>
            <c:strRef>
              <c:f>Sheet1!$A$22</c:f>
              <c:strCache>
                <c:ptCount val="1"/>
                <c:pt idx="0">
                  <c:v>Undergraduate</c:v>
                </c:pt>
              </c:strCache>
            </c:strRef>
          </c:tx>
          <c:spPr>
            <a:solidFill>
              <a:srgbClr val="8080FF"/>
            </a:solidFill>
            <a:ln w="12700">
              <a:solidFill>
                <a:srgbClr val="000000"/>
              </a:solidFill>
              <a:prstDash val="solid"/>
            </a:ln>
          </c:spPr>
          <c:invertIfNegative val="0"/>
          <c:cat>
            <c:strRef>
              <c:f>Sheet1!$B$21:$K$21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Sheet1!$B$22:$K$22</c:f>
              <c:numCache>
                <c:formatCode>#,##0</c:formatCode>
                <c:ptCount val="10"/>
                <c:pt idx="0">
                  <c:v>5952</c:v>
                </c:pt>
                <c:pt idx="1">
                  <c:v>6962</c:v>
                </c:pt>
                <c:pt idx="2">
                  <c:v>7986</c:v>
                </c:pt>
                <c:pt idx="3">
                  <c:v>8659</c:v>
                </c:pt>
                <c:pt idx="4">
                  <c:v>9486</c:v>
                </c:pt>
                <c:pt idx="5">
                  <c:v>10303</c:v>
                </c:pt>
                <c:pt idx="6">
                  <c:v>11134</c:v>
                </c:pt>
                <c:pt idx="7">
                  <c:v>12064</c:v>
                </c:pt>
                <c:pt idx="8">
                  <c:v>12775</c:v>
                </c:pt>
                <c:pt idx="9">
                  <c:v>13429</c:v>
                </c:pt>
              </c:numCache>
            </c:numRef>
          </c:val>
        </c:ser>
        <c:ser>
          <c:idx val="4"/>
          <c:order val="1"/>
          <c:tx>
            <c:strRef>
              <c:f>Sheet1!$A$23</c:f>
              <c:strCache>
                <c:ptCount val="1"/>
                <c:pt idx="0">
                  <c:v>Graduate</c:v>
                </c:pt>
              </c:strCache>
            </c:strRef>
          </c:tx>
          <c:spPr>
            <a:solidFill>
              <a:srgbClr val="600080"/>
            </a:solidFill>
            <a:ln w="12700">
              <a:solidFill>
                <a:srgbClr val="000000"/>
              </a:solidFill>
              <a:prstDash val="solid"/>
            </a:ln>
          </c:spPr>
          <c:invertIfNegative val="0"/>
          <c:cat>
            <c:strRef>
              <c:f>Sheet1!$B$21:$K$21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Sheet1!$B$23:$K$23</c:f>
              <c:numCache>
                <c:formatCode>#,##0</c:formatCode>
                <c:ptCount val="10"/>
                <c:pt idx="0">
                  <c:v>760</c:v>
                </c:pt>
                <c:pt idx="1">
                  <c:v>795</c:v>
                </c:pt>
                <c:pt idx="2">
                  <c:v>822</c:v>
                </c:pt>
                <c:pt idx="3">
                  <c:v>986</c:v>
                </c:pt>
                <c:pt idx="4">
                  <c:v>1047</c:v>
                </c:pt>
                <c:pt idx="5">
                  <c:v>1153</c:v>
                </c:pt>
                <c:pt idx="6">
                  <c:v>1089</c:v>
                </c:pt>
                <c:pt idx="7">
                  <c:v>1048</c:v>
                </c:pt>
                <c:pt idx="8">
                  <c:v>987</c:v>
                </c:pt>
                <c:pt idx="9">
                  <c:v>1018</c:v>
                </c:pt>
              </c:numCache>
            </c:numRef>
          </c:val>
        </c:ser>
        <c:ser>
          <c:idx val="5"/>
          <c:order val="2"/>
          <c:tx>
            <c:strRef>
              <c:f>Sheet1!$A$24</c:f>
              <c:strCache>
                <c:ptCount val="1"/>
                <c:pt idx="0">
                  <c:v>Nondegree</c:v>
                </c:pt>
              </c:strCache>
            </c:strRef>
          </c:tx>
          <c:spPr>
            <a:solidFill>
              <a:srgbClr val="FF8080"/>
            </a:solidFill>
            <a:ln w="12700">
              <a:solidFill>
                <a:srgbClr val="000000"/>
              </a:solidFill>
              <a:prstDash val="solid"/>
            </a:ln>
          </c:spPr>
          <c:invertIfNegative val="0"/>
          <c:cat>
            <c:strRef>
              <c:f>Sheet1!$B$21:$K$21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Sheet1!$B$24:$K$24</c:f>
              <c:numCache>
                <c:formatCode>#,##0</c:formatCode>
                <c:ptCount val="10"/>
                <c:pt idx="0">
                  <c:v>542</c:v>
                </c:pt>
                <c:pt idx="1">
                  <c:v>559</c:v>
                </c:pt>
                <c:pt idx="2">
                  <c:v>580</c:v>
                </c:pt>
                <c:pt idx="3">
                  <c:v>593</c:v>
                </c:pt>
                <c:pt idx="4">
                  <c:v>572</c:v>
                </c:pt>
                <c:pt idx="5">
                  <c:v>582</c:v>
                </c:pt>
                <c:pt idx="6">
                  <c:v>432</c:v>
                </c:pt>
                <c:pt idx="7">
                  <c:v>432</c:v>
                </c:pt>
                <c:pt idx="8">
                  <c:v>312</c:v>
                </c:pt>
                <c:pt idx="9">
                  <c:v>226</c:v>
                </c:pt>
              </c:numCache>
            </c:numRef>
          </c:val>
        </c:ser>
        <c:dLbls>
          <c:showLegendKey val="0"/>
          <c:showVal val="0"/>
          <c:showCatName val="0"/>
          <c:showSerName val="0"/>
          <c:showPercent val="0"/>
          <c:showBubbleSize val="0"/>
        </c:dLbls>
        <c:gapWidth val="150"/>
        <c:overlap val="100"/>
        <c:axId val="169437472"/>
        <c:axId val="169437864"/>
      </c:barChart>
      <c:lineChart>
        <c:grouping val="standard"/>
        <c:varyColors val="0"/>
        <c:ser>
          <c:idx val="1"/>
          <c:order val="3"/>
          <c:tx>
            <c:strRef>
              <c:f>Sheet1!$A$27</c:f>
              <c:strCache>
                <c:ptCount val="1"/>
                <c:pt idx="0">
                  <c:v>Percentage Increase Students</c:v>
                </c:pt>
              </c:strCache>
            </c:strRef>
          </c:tx>
          <c:spPr>
            <a:ln>
              <a:solidFill>
                <a:srgbClr val="FF0000"/>
              </a:solidFill>
            </a:ln>
          </c:spPr>
          <c:marker>
            <c:spPr>
              <a:solidFill>
                <a:srgbClr val="FF0000"/>
              </a:solidFill>
              <a:ln>
                <a:solidFill>
                  <a:srgbClr val="FF0000"/>
                </a:solidFill>
              </a:ln>
            </c:spPr>
          </c:marker>
          <c:cat>
            <c:strRef>
              <c:f>Sheet1!$B$21:$K$21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Sheet1!$B$27:$K$27</c:f>
              <c:numCache>
                <c:formatCode>0%</c:formatCode>
                <c:ptCount val="10"/>
                <c:pt idx="1">
                  <c:v>0.14640198511166247</c:v>
                </c:pt>
                <c:pt idx="2">
                  <c:v>0.12890812890812886</c:v>
                </c:pt>
                <c:pt idx="3">
                  <c:v>9.0541116318704651E-2</c:v>
                </c:pt>
                <c:pt idx="4">
                  <c:v>8.4684508693104066E-2</c:v>
                </c:pt>
                <c:pt idx="5">
                  <c:v>8.4016208914903245E-2</c:v>
                </c:pt>
                <c:pt idx="6">
                  <c:v>5.1254361189566389E-2</c:v>
                </c:pt>
                <c:pt idx="7">
                  <c:v>7.0248913472935604E-2</c:v>
                </c:pt>
                <c:pt idx="8">
                  <c:v>3.9131718842291718E-2</c:v>
                </c:pt>
                <c:pt idx="9">
                  <c:v>4.2560750319738494E-2</c:v>
                </c:pt>
              </c:numCache>
            </c:numRef>
          </c:val>
          <c:smooth val="0"/>
        </c:ser>
        <c:ser>
          <c:idx val="2"/>
          <c:order val="4"/>
          <c:tx>
            <c:strRef>
              <c:f>Sheet1!$A$28</c:f>
              <c:strCache>
                <c:ptCount val="1"/>
                <c:pt idx="0">
                  <c:v>Percentage of increase in Staff</c:v>
                </c:pt>
              </c:strCache>
            </c:strRef>
          </c:tx>
          <c:spPr>
            <a:ln>
              <a:solidFill>
                <a:srgbClr val="FFFF00"/>
              </a:solidFill>
            </a:ln>
          </c:spPr>
          <c:marker>
            <c:spPr>
              <a:solidFill>
                <a:srgbClr val="FFFF00"/>
              </a:solidFill>
              <a:ln>
                <a:solidFill>
                  <a:srgbClr val="FFFF00"/>
                </a:solidFill>
              </a:ln>
            </c:spPr>
          </c:marker>
          <c:cat>
            <c:strRef>
              <c:f>Sheet1!$B$21:$K$21</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Sheet1!$B$28:$K$28</c:f>
              <c:numCache>
                <c:formatCode>0%</c:formatCode>
                <c:ptCount val="10"/>
                <c:pt idx="1">
                  <c:v>0.09</c:v>
                </c:pt>
                <c:pt idx="2">
                  <c:v>0.06</c:v>
                </c:pt>
                <c:pt idx="3">
                  <c:v>0.04</c:v>
                </c:pt>
                <c:pt idx="4">
                  <c:v>0.04</c:v>
                </c:pt>
                <c:pt idx="5">
                  <c:v>0.04</c:v>
                </c:pt>
                <c:pt idx="6">
                  <c:v>0.06</c:v>
                </c:pt>
                <c:pt idx="7">
                  <c:v>0.05</c:v>
                </c:pt>
                <c:pt idx="8">
                  <c:v>0.03</c:v>
                </c:pt>
                <c:pt idx="9">
                  <c:v>0.06</c:v>
                </c:pt>
              </c:numCache>
            </c:numRef>
          </c:val>
          <c:smooth val="0"/>
        </c:ser>
        <c:dLbls>
          <c:showLegendKey val="0"/>
          <c:showVal val="0"/>
          <c:showCatName val="0"/>
          <c:showSerName val="0"/>
          <c:showPercent val="0"/>
          <c:showBubbleSize val="0"/>
        </c:dLbls>
        <c:marker val="1"/>
        <c:smooth val="0"/>
        <c:axId val="275629680"/>
        <c:axId val="169438256"/>
      </c:lineChart>
      <c:catAx>
        <c:axId val="169437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69437864"/>
        <c:crosses val="autoZero"/>
        <c:auto val="1"/>
        <c:lblAlgn val="ctr"/>
        <c:lblOffset val="100"/>
        <c:noMultiLvlLbl val="0"/>
      </c:catAx>
      <c:valAx>
        <c:axId val="16943786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69437472"/>
        <c:crosses val="autoZero"/>
        <c:crossBetween val="between"/>
      </c:valAx>
      <c:valAx>
        <c:axId val="169438256"/>
        <c:scaling>
          <c:orientation val="minMax"/>
        </c:scaling>
        <c:delete val="0"/>
        <c:axPos val="r"/>
        <c:numFmt formatCode="0%" sourceLinked="1"/>
        <c:majorTickMark val="out"/>
        <c:minorTickMark val="none"/>
        <c:tickLblPos val="nextTo"/>
        <c:crossAx val="275629680"/>
        <c:crosses val="max"/>
        <c:crossBetween val="between"/>
      </c:valAx>
      <c:catAx>
        <c:axId val="275629680"/>
        <c:scaling>
          <c:orientation val="minMax"/>
        </c:scaling>
        <c:delete val="1"/>
        <c:axPos val="b"/>
        <c:numFmt formatCode="General" sourceLinked="1"/>
        <c:majorTickMark val="out"/>
        <c:minorTickMark val="none"/>
        <c:tickLblPos val="nextTo"/>
        <c:crossAx val="169438256"/>
        <c:crosses val="autoZero"/>
        <c:auto val="1"/>
        <c:lblAlgn val="ctr"/>
        <c:lblOffset val="100"/>
        <c:noMultiLvlLbl val="0"/>
      </c:catAx>
      <c:spPr>
        <a:solidFill>
          <a:srgbClr val="CCFFCC"/>
        </a:solidFill>
        <a:ln w="12700">
          <a:solidFill>
            <a:srgbClr val="808080"/>
          </a:solidFill>
          <a:prstDash val="solid"/>
        </a:ln>
      </c:spPr>
    </c:plotArea>
    <c:legend>
      <c:legendPos val="b"/>
      <c:layout>
        <c:manualLayout>
          <c:xMode val="edge"/>
          <c:yMode val="edge"/>
          <c:x val="6.9886339731577943E-2"/>
          <c:y val="0.87095560571858543"/>
          <c:w val="0.86433731079546006"/>
          <c:h val="0.11023325808878856"/>
        </c:manualLayout>
      </c:layout>
      <c:overlay val="0"/>
      <c:spPr>
        <a:solidFill>
          <a:srgbClr val="FFFFFF"/>
        </a:solidFill>
        <a:ln w="3175">
          <a:noFill/>
          <a:prstDash val="solid"/>
        </a:ln>
      </c:spPr>
      <c:txPr>
        <a:bodyPr/>
        <a:lstStyle/>
        <a:p>
          <a:pPr>
            <a:defRPr sz="85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FGCU 2014 STARS Summary</a:t>
            </a:r>
            <a:endParaRPr lang="en-US" sz="14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Sheet1!$A$35</c:f>
              <c:strCache>
                <c:ptCount val="1"/>
                <c:pt idx="0">
                  <c:v>% Earned</c:v>
                </c:pt>
              </c:strCache>
            </c:strRef>
          </c:tx>
          <c:spPr>
            <a:solidFill>
              <a:schemeClr val="accent6"/>
            </a:solidFill>
            <a:ln>
              <a:noFill/>
            </a:ln>
            <a:effectLst/>
          </c:spPr>
          <c:invertIfNegative val="0"/>
          <c:cat>
            <c:strRef>
              <c:f>Sheet1!$B$34:$E$34</c:f>
              <c:strCache>
                <c:ptCount val="4"/>
                <c:pt idx="0">
                  <c:v>Academics</c:v>
                </c:pt>
                <c:pt idx="1">
                  <c:v>Engagement</c:v>
                </c:pt>
                <c:pt idx="2">
                  <c:v>Operations</c:v>
                </c:pt>
                <c:pt idx="3">
                  <c:v>Planning &amp; Administration</c:v>
                </c:pt>
              </c:strCache>
            </c:strRef>
          </c:cat>
          <c:val>
            <c:numRef>
              <c:f>Sheet1!$B$35:$E$35</c:f>
              <c:numCache>
                <c:formatCode>General</c:formatCode>
                <c:ptCount val="4"/>
                <c:pt idx="0">
                  <c:v>92</c:v>
                </c:pt>
                <c:pt idx="1">
                  <c:v>79</c:v>
                </c:pt>
                <c:pt idx="2">
                  <c:v>43</c:v>
                </c:pt>
                <c:pt idx="3">
                  <c:v>62</c:v>
                </c:pt>
              </c:numCache>
            </c:numRef>
          </c:val>
        </c:ser>
        <c:ser>
          <c:idx val="1"/>
          <c:order val="1"/>
          <c:tx>
            <c:strRef>
              <c:f>Sheet1!$A$36</c:f>
              <c:strCache>
                <c:ptCount val="1"/>
                <c:pt idx="0">
                  <c:v>% Not earned</c:v>
                </c:pt>
              </c:strCache>
            </c:strRef>
          </c:tx>
          <c:spPr>
            <a:solidFill>
              <a:schemeClr val="accent5"/>
            </a:solidFill>
            <a:ln>
              <a:noFill/>
            </a:ln>
            <a:effectLst/>
          </c:spPr>
          <c:invertIfNegative val="0"/>
          <c:cat>
            <c:strRef>
              <c:f>Sheet1!$B$34:$E$34</c:f>
              <c:strCache>
                <c:ptCount val="4"/>
                <c:pt idx="0">
                  <c:v>Academics</c:v>
                </c:pt>
                <c:pt idx="1">
                  <c:v>Engagement</c:v>
                </c:pt>
                <c:pt idx="2">
                  <c:v>Operations</c:v>
                </c:pt>
                <c:pt idx="3">
                  <c:v>Planning &amp; Administration</c:v>
                </c:pt>
              </c:strCache>
            </c:strRef>
          </c:cat>
          <c:val>
            <c:numRef>
              <c:f>Sheet1!$B$36:$E$36</c:f>
              <c:numCache>
                <c:formatCode>General</c:formatCode>
                <c:ptCount val="4"/>
                <c:pt idx="0">
                  <c:v>8</c:v>
                </c:pt>
                <c:pt idx="1">
                  <c:v>21</c:v>
                </c:pt>
                <c:pt idx="2">
                  <c:v>57</c:v>
                </c:pt>
                <c:pt idx="3">
                  <c:v>38</c:v>
                </c:pt>
              </c:numCache>
            </c:numRef>
          </c:val>
        </c:ser>
        <c:dLbls>
          <c:showLegendKey val="0"/>
          <c:showVal val="0"/>
          <c:showCatName val="0"/>
          <c:showSerName val="0"/>
          <c:showPercent val="0"/>
          <c:showBubbleSize val="0"/>
        </c:dLbls>
        <c:gapWidth val="150"/>
        <c:overlap val="100"/>
        <c:axId val="279652936"/>
        <c:axId val="279653328"/>
      </c:barChart>
      <c:catAx>
        <c:axId val="27965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79653328"/>
        <c:crosses val="autoZero"/>
        <c:auto val="1"/>
        <c:lblAlgn val="ctr"/>
        <c:lblOffset val="100"/>
        <c:noMultiLvlLbl val="0"/>
      </c:catAx>
      <c:valAx>
        <c:axId val="2796533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52936"/>
        <c:crosses val="autoZero"/>
        <c:crossBetween val="between"/>
      </c:valAx>
      <c:spPr>
        <a:noFill/>
        <a:ln>
          <a:noFill/>
        </a:ln>
        <a:effectLst/>
      </c:spPr>
    </c:plotArea>
    <c:legend>
      <c:legendPos val="b"/>
      <c:layout>
        <c:manualLayout>
          <c:xMode val="edge"/>
          <c:yMode val="edge"/>
          <c:x val="0.22191607111466721"/>
          <c:y val="0.89574496369771961"/>
          <c:w val="0.54385044825516904"/>
          <c:h val="7.828101032825442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b="0">
                <a:solidFill>
                  <a:schemeClr val="tx1">
                    <a:lumMod val="75000"/>
                    <a:lumOff val="25000"/>
                  </a:schemeClr>
                </a:solidFill>
              </a:defRPr>
            </a:pPr>
            <a:r>
              <a:rPr lang="en-US" sz="1400" b="0">
                <a:solidFill>
                  <a:schemeClr val="tx1">
                    <a:lumMod val="75000"/>
                    <a:lumOff val="25000"/>
                  </a:schemeClr>
                </a:solidFill>
              </a:rPr>
              <a:t>Sponsored</a:t>
            </a:r>
            <a:r>
              <a:rPr lang="en-US" sz="1400" b="0" baseline="0">
                <a:solidFill>
                  <a:schemeClr val="tx1">
                    <a:lumMod val="75000"/>
                    <a:lumOff val="25000"/>
                  </a:schemeClr>
                </a:solidFill>
              </a:rPr>
              <a:t> Program Funds</a:t>
            </a:r>
          </a:p>
          <a:p>
            <a:pPr algn="l">
              <a:defRPr sz="1400" b="0">
                <a:solidFill>
                  <a:schemeClr val="tx1">
                    <a:lumMod val="75000"/>
                    <a:lumOff val="25000"/>
                  </a:schemeClr>
                </a:solidFill>
              </a:defRPr>
            </a:pPr>
            <a:r>
              <a:rPr lang="en-US" sz="1400" b="0" baseline="0">
                <a:solidFill>
                  <a:schemeClr val="tx1">
                    <a:lumMod val="75000"/>
                    <a:lumOff val="25000"/>
                  </a:schemeClr>
                </a:solidFill>
              </a:rPr>
              <a:t>(in millions)</a:t>
            </a:r>
            <a:endParaRPr lang="en-US" sz="1400" b="0">
              <a:solidFill>
                <a:schemeClr val="tx1">
                  <a:lumMod val="75000"/>
                  <a:lumOff val="25000"/>
                </a:schemeClr>
              </a:solidFill>
            </a:endParaRPr>
          </a:p>
        </c:rich>
      </c:tx>
      <c:layout>
        <c:manualLayout>
          <c:xMode val="edge"/>
          <c:yMode val="edge"/>
          <c:x val="6.2847112860892382E-2"/>
          <c:y val="6.0185185185185147E-2"/>
        </c:manualLayout>
      </c:layout>
      <c:overlay val="0"/>
    </c:title>
    <c:autoTitleDeleted val="0"/>
    <c:plotArea>
      <c:layout/>
      <c:barChart>
        <c:barDir val="col"/>
        <c:grouping val="clustered"/>
        <c:varyColors val="0"/>
        <c:ser>
          <c:idx val="0"/>
          <c:order val="0"/>
          <c:spPr>
            <a:solidFill>
              <a:schemeClr val="bg1">
                <a:lumMod val="65000"/>
              </a:schemeClr>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spPr>
              <a:solidFill>
                <a:schemeClr val="bg1">
                  <a:lumMod val="65000"/>
                </a:schemeClr>
              </a:solidFill>
              <a:ln>
                <a:noFill/>
              </a:ln>
            </c:spPr>
          </c:dPt>
          <c:dPt>
            <c:idx val="5"/>
            <c:invertIfNegative val="0"/>
            <c:bubble3D val="0"/>
          </c:dPt>
          <c:dPt>
            <c:idx val="7"/>
            <c:invertIfNegative val="0"/>
            <c:bubble3D val="0"/>
            <c:spPr>
              <a:solidFill>
                <a:srgbClr val="8EB4E2"/>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Sheet1!$A$116:$A$123</c:f>
              <c:strCache>
                <c:ptCount val="8"/>
                <c:pt idx="0">
                  <c:v>2007-08</c:v>
                </c:pt>
                <c:pt idx="1">
                  <c:v>2008-09</c:v>
                </c:pt>
                <c:pt idx="2">
                  <c:v>2009-10</c:v>
                </c:pt>
                <c:pt idx="3">
                  <c:v>2010-11</c:v>
                </c:pt>
                <c:pt idx="4">
                  <c:v>2011-12</c:v>
                </c:pt>
                <c:pt idx="5">
                  <c:v>2012-13</c:v>
                </c:pt>
                <c:pt idx="6">
                  <c:v>2013-14</c:v>
                </c:pt>
                <c:pt idx="7">
                  <c:v>2014-15
Goal</c:v>
                </c:pt>
              </c:strCache>
            </c:strRef>
          </c:cat>
          <c:val>
            <c:numRef>
              <c:f>Sheet1!$B$116:$B$123</c:f>
              <c:numCache>
                <c:formatCode>0.0</c:formatCode>
                <c:ptCount val="8"/>
                <c:pt idx="0">
                  <c:v>13.7</c:v>
                </c:pt>
                <c:pt idx="1">
                  <c:v>14.8</c:v>
                </c:pt>
                <c:pt idx="2">
                  <c:v>14.4</c:v>
                </c:pt>
                <c:pt idx="3">
                  <c:v>14.7</c:v>
                </c:pt>
                <c:pt idx="4">
                  <c:v>13.1</c:v>
                </c:pt>
                <c:pt idx="5">
                  <c:v>14.3</c:v>
                </c:pt>
                <c:pt idx="6">
                  <c:v>10.199999999999999</c:v>
                </c:pt>
                <c:pt idx="7">
                  <c:v>10</c:v>
                </c:pt>
              </c:numCache>
            </c:numRef>
          </c:val>
        </c:ser>
        <c:dLbls>
          <c:dLblPos val="outEnd"/>
          <c:showLegendKey val="0"/>
          <c:showVal val="1"/>
          <c:showCatName val="0"/>
          <c:showSerName val="0"/>
          <c:showPercent val="0"/>
          <c:showBubbleSize val="0"/>
        </c:dLbls>
        <c:gapWidth val="70"/>
        <c:axId val="272969600"/>
        <c:axId val="174500096"/>
      </c:barChart>
      <c:catAx>
        <c:axId val="272969600"/>
        <c:scaling>
          <c:orientation val="minMax"/>
        </c:scaling>
        <c:delete val="0"/>
        <c:axPos val="b"/>
        <c:numFmt formatCode="General" sourceLinked="0"/>
        <c:majorTickMark val="none"/>
        <c:minorTickMark val="none"/>
        <c:tickLblPos val="nextTo"/>
        <c:crossAx val="174500096"/>
        <c:crosses val="autoZero"/>
        <c:auto val="1"/>
        <c:lblAlgn val="ctr"/>
        <c:lblOffset val="100"/>
        <c:noMultiLvlLbl val="0"/>
      </c:catAx>
      <c:valAx>
        <c:axId val="174500096"/>
        <c:scaling>
          <c:orientation val="minMax"/>
          <c:max val="20"/>
          <c:min val="0"/>
        </c:scaling>
        <c:delete val="1"/>
        <c:axPos val="l"/>
        <c:numFmt formatCode="0.0" sourceLinked="1"/>
        <c:majorTickMark val="out"/>
        <c:minorTickMark val="none"/>
        <c:tickLblPos val="none"/>
        <c:crossAx val="272969600"/>
        <c:crosses val="autoZero"/>
        <c:crossBetween val="between"/>
        <c:majorUnit val="4"/>
      </c:valAx>
    </c:plotArea>
    <c:plotVisOnly val="1"/>
    <c:dispBlanksAs val="gap"/>
    <c:showDLblsOverMax val="0"/>
  </c:chart>
  <c:spPr>
    <a:ln>
      <a:solidFill>
        <a:schemeClr val="tx1">
          <a:lumMod val="75000"/>
          <a:lumOff val="25000"/>
        </a:schemeClr>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09051E-8DAD-4259-B2CE-DEF6FCD0A09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62DA4090-952E-4248-8697-1CB1E3DCDC93}">
      <dgm:prSet phldrT="[Text]"/>
      <dgm:spPr/>
      <dgm:t>
        <a:bodyPr/>
        <a:lstStyle/>
        <a:p>
          <a:r>
            <a:rPr lang="en-US"/>
            <a:t>FGCU</a:t>
          </a:r>
        </a:p>
      </dgm:t>
    </dgm:pt>
    <dgm:pt modelId="{A79085F0-F097-424B-A69D-CB2918D8F8C6}" type="parTrans" cxnId="{85FA4A3F-FA66-4E86-8FD0-13C0082F0AE2}">
      <dgm:prSet/>
      <dgm:spPr/>
      <dgm:t>
        <a:bodyPr/>
        <a:lstStyle/>
        <a:p>
          <a:endParaRPr lang="en-US"/>
        </a:p>
      </dgm:t>
    </dgm:pt>
    <dgm:pt modelId="{7B7E785E-2A15-4503-B773-B843FBC7822B}" type="sibTrans" cxnId="{85FA4A3F-FA66-4E86-8FD0-13C0082F0AE2}">
      <dgm:prSet/>
      <dgm:spPr/>
      <dgm:t>
        <a:bodyPr/>
        <a:lstStyle/>
        <a:p>
          <a:endParaRPr lang="en-US"/>
        </a:p>
      </dgm:t>
    </dgm:pt>
    <dgm:pt modelId="{D9CA568A-9131-4F8B-A7BE-01B63DECC001}">
      <dgm:prSet phldrT="[Text]"/>
      <dgm:spPr/>
      <dgm:t>
        <a:bodyPr/>
        <a:lstStyle/>
        <a:p>
          <a:r>
            <a:rPr lang="en-US"/>
            <a:t>Administration</a:t>
          </a:r>
        </a:p>
      </dgm:t>
    </dgm:pt>
    <dgm:pt modelId="{48FDA6B1-EAC6-420B-8347-2EA81EEC4AF6}" type="parTrans" cxnId="{FA6B50BB-2126-43A7-ABEC-7D5EC4A60F90}">
      <dgm:prSet/>
      <dgm:spPr/>
      <dgm:t>
        <a:bodyPr/>
        <a:lstStyle/>
        <a:p>
          <a:endParaRPr lang="en-US"/>
        </a:p>
      </dgm:t>
    </dgm:pt>
    <dgm:pt modelId="{33D1EA5F-1AC6-46E4-A436-927045A01A1E}" type="sibTrans" cxnId="{FA6B50BB-2126-43A7-ABEC-7D5EC4A60F90}">
      <dgm:prSet/>
      <dgm:spPr/>
      <dgm:t>
        <a:bodyPr/>
        <a:lstStyle/>
        <a:p>
          <a:endParaRPr lang="en-US"/>
        </a:p>
      </dgm:t>
    </dgm:pt>
    <dgm:pt modelId="{E4DA997C-A918-4D6D-85BF-BD520700D016}">
      <dgm:prSet phldrT="[Text]"/>
      <dgm:spPr/>
      <dgm:t>
        <a:bodyPr/>
        <a:lstStyle/>
        <a:p>
          <a:r>
            <a:rPr lang="en-US"/>
            <a:t>Faculty </a:t>
          </a:r>
        </a:p>
      </dgm:t>
    </dgm:pt>
    <dgm:pt modelId="{B5158794-E1B1-4315-A385-E1F3B3DEF33B}" type="parTrans" cxnId="{FC9D160D-79CE-4CD4-BCE0-E22BF07CAEF7}">
      <dgm:prSet/>
      <dgm:spPr/>
      <dgm:t>
        <a:bodyPr/>
        <a:lstStyle/>
        <a:p>
          <a:endParaRPr lang="en-US"/>
        </a:p>
      </dgm:t>
    </dgm:pt>
    <dgm:pt modelId="{09307253-D389-485B-B8D8-F5F7838BE5F9}" type="sibTrans" cxnId="{FC9D160D-79CE-4CD4-BCE0-E22BF07CAEF7}">
      <dgm:prSet/>
      <dgm:spPr/>
      <dgm:t>
        <a:bodyPr/>
        <a:lstStyle/>
        <a:p>
          <a:endParaRPr lang="en-US"/>
        </a:p>
      </dgm:t>
    </dgm:pt>
    <dgm:pt modelId="{A8ACCC21-F040-44D1-9226-6EC301C53FF2}">
      <dgm:prSet phldrT="[Text]"/>
      <dgm:spPr/>
      <dgm:t>
        <a:bodyPr/>
        <a:lstStyle/>
        <a:p>
          <a:r>
            <a:rPr lang="en-US"/>
            <a:t>Staff</a:t>
          </a:r>
        </a:p>
      </dgm:t>
    </dgm:pt>
    <dgm:pt modelId="{F2F25D9E-0450-4FAD-A747-968F5B1CB1F5}" type="parTrans" cxnId="{01DD79A3-76FD-4F6B-ABFF-686BAB784624}">
      <dgm:prSet/>
      <dgm:spPr/>
      <dgm:t>
        <a:bodyPr/>
        <a:lstStyle/>
        <a:p>
          <a:endParaRPr lang="en-US"/>
        </a:p>
      </dgm:t>
    </dgm:pt>
    <dgm:pt modelId="{F5BC700D-7711-45E2-90B1-015F4543BFE9}" type="sibTrans" cxnId="{01DD79A3-76FD-4F6B-ABFF-686BAB784624}">
      <dgm:prSet/>
      <dgm:spPr/>
      <dgm:t>
        <a:bodyPr/>
        <a:lstStyle/>
        <a:p>
          <a:endParaRPr lang="en-US"/>
        </a:p>
      </dgm:t>
    </dgm:pt>
    <dgm:pt modelId="{D16F1369-388B-48E2-A901-4ECF4FB726F4}">
      <dgm:prSet phldrT="[Text]"/>
      <dgm:spPr/>
      <dgm:t>
        <a:bodyPr/>
        <a:lstStyle/>
        <a:p>
          <a:r>
            <a:rPr lang="en-US"/>
            <a:t>Students</a:t>
          </a:r>
        </a:p>
      </dgm:t>
    </dgm:pt>
    <dgm:pt modelId="{155BA858-D2BD-44A0-8263-087D16183653}" type="parTrans" cxnId="{A98B480C-5EA0-4AED-96B4-CDCEBEA888EB}">
      <dgm:prSet/>
      <dgm:spPr/>
      <dgm:t>
        <a:bodyPr/>
        <a:lstStyle/>
        <a:p>
          <a:endParaRPr lang="en-US"/>
        </a:p>
      </dgm:t>
    </dgm:pt>
    <dgm:pt modelId="{6375DEF5-AD7E-4C0A-A524-D785F8CBD1C2}" type="sibTrans" cxnId="{A98B480C-5EA0-4AED-96B4-CDCEBEA888EB}">
      <dgm:prSet/>
      <dgm:spPr/>
      <dgm:t>
        <a:bodyPr/>
        <a:lstStyle/>
        <a:p>
          <a:endParaRPr lang="en-US"/>
        </a:p>
      </dgm:t>
    </dgm:pt>
    <dgm:pt modelId="{9EEB9DF7-E07C-44B8-8E12-B82281F3E326}">
      <dgm:prSet phldrT="[Text]"/>
      <dgm:spPr/>
      <dgm:t>
        <a:bodyPr/>
        <a:lstStyle/>
        <a:p>
          <a:r>
            <a:rPr lang="en-US"/>
            <a:t>Board of Trustees</a:t>
          </a:r>
        </a:p>
      </dgm:t>
    </dgm:pt>
    <dgm:pt modelId="{ADC5B522-89CA-45BA-B027-20B5B9E36C80}" type="parTrans" cxnId="{A5C83E22-8BA1-4598-A97F-8ECA2E97522E}">
      <dgm:prSet/>
      <dgm:spPr/>
      <dgm:t>
        <a:bodyPr/>
        <a:lstStyle/>
        <a:p>
          <a:endParaRPr lang="en-US"/>
        </a:p>
      </dgm:t>
    </dgm:pt>
    <dgm:pt modelId="{33A8A367-FDB2-44F3-BF70-A8E65E0D4DB4}" type="sibTrans" cxnId="{A5C83E22-8BA1-4598-A97F-8ECA2E97522E}">
      <dgm:prSet/>
      <dgm:spPr/>
      <dgm:t>
        <a:bodyPr/>
        <a:lstStyle/>
        <a:p>
          <a:endParaRPr lang="en-US"/>
        </a:p>
      </dgm:t>
    </dgm:pt>
    <dgm:pt modelId="{BCB5408F-D9DD-4843-A9DF-1D0AE2095441}">
      <dgm:prSet phldrT="[Text]"/>
      <dgm:spPr/>
      <dgm:t>
        <a:bodyPr/>
        <a:lstStyle/>
        <a:p>
          <a:r>
            <a:rPr lang="en-US"/>
            <a:t>President</a:t>
          </a:r>
        </a:p>
      </dgm:t>
    </dgm:pt>
    <dgm:pt modelId="{7E89C0C3-48AB-435F-B25E-610080C8BB7D}" type="parTrans" cxnId="{59993FB0-972D-4560-9CE0-68DC00B14804}">
      <dgm:prSet/>
      <dgm:spPr/>
      <dgm:t>
        <a:bodyPr/>
        <a:lstStyle/>
        <a:p>
          <a:endParaRPr lang="en-US"/>
        </a:p>
      </dgm:t>
    </dgm:pt>
    <dgm:pt modelId="{00A7F22A-5B8D-4B2B-9D8A-2439394EFEFF}" type="sibTrans" cxnId="{59993FB0-972D-4560-9CE0-68DC00B14804}">
      <dgm:prSet/>
      <dgm:spPr/>
      <dgm:t>
        <a:bodyPr/>
        <a:lstStyle/>
        <a:p>
          <a:endParaRPr lang="en-US"/>
        </a:p>
      </dgm:t>
    </dgm:pt>
    <dgm:pt modelId="{B8DE56BB-8D71-4374-BF81-92A45EE3F3BD}" type="pres">
      <dgm:prSet presAssocID="{B309051E-8DAD-4259-B2CE-DEF6FCD0A099}" presName="cycle" presStyleCnt="0">
        <dgm:presLayoutVars>
          <dgm:chMax val="1"/>
          <dgm:dir/>
          <dgm:animLvl val="ctr"/>
          <dgm:resizeHandles val="exact"/>
        </dgm:presLayoutVars>
      </dgm:prSet>
      <dgm:spPr/>
      <dgm:t>
        <a:bodyPr/>
        <a:lstStyle/>
        <a:p>
          <a:endParaRPr lang="en-US"/>
        </a:p>
      </dgm:t>
    </dgm:pt>
    <dgm:pt modelId="{8D6F18A8-D6DB-48C4-982C-E5F8832B4D61}" type="pres">
      <dgm:prSet presAssocID="{62DA4090-952E-4248-8697-1CB1E3DCDC93}" presName="centerShape" presStyleLbl="node0" presStyleIdx="0" presStyleCnt="1"/>
      <dgm:spPr/>
      <dgm:t>
        <a:bodyPr/>
        <a:lstStyle/>
        <a:p>
          <a:endParaRPr lang="en-US"/>
        </a:p>
      </dgm:t>
    </dgm:pt>
    <dgm:pt modelId="{7DE2657C-7D21-4F6B-A581-EA677CFCC9D0}" type="pres">
      <dgm:prSet presAssocID="{7E89C0C3-48AB-435F-B25E-610080C8BB7D}" presName="parTrans" presStyleLbl="bgSibTrans2D1" presStyleIdx="0" presStyleCnt="6"/>
      <dgm:spPr/>
      <dgm:t>
        <a:bodyPr/>
        <a:lstStyle/>
        <a:p>
          <a:endParaRPr lang="en-US"/>
        </a:p>
      </dgm:t>
    </dgm:pt>
    <dgm:pt modelId="{7B69FF39-6450-4A82-ADBE-5785CC99059E}" type="pres">
      <dgm:prSet presAssocID="{BCB5408F-D9DD-4843-A9DF-1D0AE2095441}" presName="node" presStyleLbl="node1" presStyleIdx="0" presStyleCnt="6">
        <dgm:presLayoutVars>
          <dgm:bulletEnabled val="1"/>
        </dgm:presLayoutVars>
      </dgm:prSet>
      <dgm:spPr/>
      <dgm:t>
        <a:bodyPr/>
        <a:lstStyle/>
        <a:p>
          <a:endParaRPr lang="en-US"/>
        </a:p>
      </dgm:t>
    </dgm:pt>
    <dgm:pt modelId="{50FB35C1-A9AE-403A-A1B9-9BCFA0961DEC}" type="pres">
      <dgm:prSet presAssocID="{ADC5B522-89CA-45BA-B027-20B5B9E36C80}" presName="parTrans" presStyleLbl="bgSibTrans2D1" presStyleIdx="1" presStyleCnt="6"/>
      <dgm:spPr/>
      <dgm:t>
        <a:bodyPr/>
        <a:lstStyle/>
        <a:p>
          <a:endParaRPr lang="en-US"/>
        </a:p>
      </dgm:t>
    </dgm:pt>
    <dgm:pt modelId="{32D5D89E-37BB-4239-BA57-C1AA23B29CD4}" type="pres">
      <dgm:prSet presAssocID="{9EEB9DF7-E07C-44B8-8E12-B82281F3E326}" presName="node" presStyleLbl="node1" presStyleIdx="1" presStyleCnt="6">
        <dgm:presLayoutVars>
          <dgm:bulletEnabled val="1"/>
        </dgm:presLayoutVars>
      </dgm:prSet>
      <dgm:spPr/>
      <dgm:t>
        <a:bodyPr/>
        <a:lstStyle/>
        <a:p>
          <a:endParaRPr lang="en-US"/>
        </a:p>
      </dgm:t>
    </dgm:pt>
    <dgm:pt modelId="{6DE5250C-9E96-4C15-8A1E-0DB6F4EC937A}" type="pres">
      <dgm:prSet presAssocID="{48FDA6B1-EAC6-420B-8347-2EA81EEC4AF6}" presName="parTrans" presStyleLbl="bgSibTrans2D1" presStyleIdx="2" presStyleCnt="6"/>
      <dgm:spPr/>
      <dgm:t>
        <a:bodyPr/>
        <a:lstStyle/>
        <a:p>
          <a:endParaRPr lang="en-US"/>
        </a:p>
      </dgm:t>
    </dgm:pt>
    <dgm:pt modelId="{0318D04F-B9AA-4F14-96AD-BFB7CC5DC784}" type="pres">
      <dgm:prSet presAssocID="{D9CA568A-9131-4F8B-A7BE-01B63DECC001}" presName="node" presStyleLbl="node1" presStyleIdx="2" presStyleCnt="6">
        <dgm:presLayoutVars>
          <dgm:bulletEnabled val="1"/>
        </dgm:presLayoutVars>
      </dgm:prSet>
      <dgm:spPr/>
      <dgm:t>
        <a:bodyPr/>
        <a:lstStyle/>
        <a:p>
          <a:endParaRPr lang="en-US"/>
        </a:p>
      </dgm:t>
    </dgm:pt>
    <dgm:pt modelId="{6FC30095-72D7-48A2-A755-6AA0388D3553}" type="pres">
      <dgm:prSet presAssocID="{B5158794-E1B1-4315-A385-E1F3B3DEF33B}" presName="parTrans" presStyleLbl="bgSibTrans2D1" presStyleIdx="3" presStyleCnt="6"/>
      <dgm:spPr/>
      <dgm:t>
        <a:bodyPr/>
        <a:lstStyle/>
        <a:p>
          <a:endParaRPr lang="en-US"/>
        </a:p>
      </dgm:t>
    </dgm:pt>
    <dgm:pt modelId="{7B3319BD-D93E-43CC-955D-07B08E24C70A}" type="pres">
      <dgm:prSet presAssocID="{E4DA997C-A918-4D6D-85BF-BD520700D016}" presName="node" presStyleLbl="node1" presStyleIdx="3" presStyleCnt="6">
        <dgm:presLayoutVars>
          <dgm:bulletEnabled val="1"/>
        </dgm:presLayoutVars>
      </dgm:prSet>
      <dgm:spPr/>
      <dgm:t>
        <a:bodyPr/>
        <a:lstStyle/>
        <a:p>
          <a:endParaRPr lang="en-US"/>
        </a:p>
      </dgm:t>
    </dgm:pt>
    <dgm:pt modelId="{E9272AAC-E2F1-47A8-9ECA-7C2A58FD1FFD}" type="pres">
      <dgm:prSet presAssocID="{F2F25D9E-0450-4FAD-A747-968F5B1CB1F5}" presName="parTrans" presStyleLbl="bgSibTrans2D1" presStyleIdx="4" presStyleCnt="6"/>
      <dgm:spPr/>
      <dgm:t>
        <a:bodyPr/>
        <a:lstStyle/>
        <a:p>
          <a:endParaRPr lang="en-US"/>
        </a:p>
      </dgm:t>
    </dgm:pt>
    <dgm:pt modelId="{596231BC-3861-4024-9792-5EFE8878DC41}" type="pres">
      <dgm:prSet presAssocID="{A8ACCC21-F040-44D1-9226-6EC301C53FF2}" presName="node" presStyleLbl="node1" presStyleIdx="4" presStyleCnt="6">
        <dgm:presLayoutVars>
          <dgm:bulletEnabled val="1"/>
        </dgm:presLayoutVars>
      </dgm:prSet>
      <dgm:spPr/>
      <dgm:t>
        <a:bodyPr/>
        <a:lstStyle/>
        <a:p>
          <a:endParaRPr lang="en-US"/>
        </a:p>
      </dgm:t>
    </dgm:pt>
    <dgm:pt modelId="{38B0DBAE-8996-4B69-9381-67DC1E2C7D5D}" type="pres">
      <dgm:prSet presAssocID="{155BA858-D2BD-44A0-8263-087D16183653}" presName="parTrans" presStyleLbl="bgSibTrans2D1" presStyleIdx="5" presStyleCnt="6"/>
      <dgm:spPr/>
      <dgm:t>
        <a:bodyPr/>
        <a:lstStyle/>
        <a:p>
          <a:endParaRPr lang="en-US"/>
        </a:p>
      </dgm:t>
    </dgm:pt>
    <dgm:pt modelId="{3BED7CD0-802F-4977-A30A-26B33003769D}" type="pres">
      <dgm:prSet presAssocID="{D16F1369-388B-48E2-A901-4ECF4FB726F4}" presName="node" presStyleLbl="node1" presStyleIdx="5" presStyleCnt="6">
        <dgm:presLayoutVars>
          <dgm:bulletEnabled val="1"/>
        </dgm:presLayoutVars>
      </dgm:prSet>
      <dgm:spPr/>
      <dgm:t>
        <a:bodyPr/>
        <a:lstStyle/>
        <a:p>
          <a:endParaRPr lang="en-US"/>
        </a:p>
      </dgm:t>
    </dgm:pt>
  </dgm:ptLst>
  <dgm:cxnLst>
    <dgm:cxn modelId="{FC9D160D-79CE-4CD4-BCE0-E22BF07CAEF7}" srcId="{62DA4090-952E-4248-8697-1CB1E3DCDC93}" destId="{E4DA997C-A918-4D6D-85BF-BD520700D016}" srcOrd="3" destOrd="0" parTransId="{B5158794-E1B1-4315-A385-E1F3B3DEF33B}" sibTransId="{09307253-D389-485B-B8D8-F5F7838BE5F9}"/>
    <dgm:cxn modelId="{DC936429-6B1C-460A-84C1-DA2FAE53AB5A}" type="presOf" srcId="{D9CA568A-9131-4F8B-A7BE-01B63DECC001}" destId="{0318D04F-B9AA-4F14-96AD-BFB7CC5DC784}" srcOrd="0" destOrd="0" presId="urn:microsoft.com/office/officeart/2005/8/layout/radial4"/>
    <dgm:cxn modelId="{FA6B50BB-2126-43A7-ABEC-7D5EC4A60F90}" srcId="{62DA4090-952E-4248-8697-1CB1E3DCDC93}" destId="{D9CA568A-9131-4F8B-A7BE-01B63DECC001}" srcOrd="2" destOrd="0" parTransId="{48FDA6B1-EAC6-420B-8347-2EA81EEC4AF6}" sibTransId="{33D1EA5F-1AC6-46E4-A436-927045A01A1E}"/>
    <dgm:cxn modelId="{FB1BB827-B9CA-457C-A86D-F4C1A4F5C575}" type="presOf" srcId="{ADC5B522-89CA-45BA-B027-20B5B9E36C80}" destId="{50FB35C1-A9AE-403A-A1B9-9BCFA0961DEC}" srcOrd="0" destOrd="0" presId="urn:microsoft.com/office/officeart/2005/8/layout/radial4"/>
    <dgm:cxn modelId="{FD722AC7-B4B6-44B6-9ABF-196094D164DA}" type="presOf" srcId="{155BA858-D2BD-44A0-8263-087D16183653}" destId="{38B0DBAE-8996-4B69-9381-67DC1E2C7D5D}" srcOrd="0" destOrd="0" presId="urn:microsoft.com/office/officeart/2005/8/layout/radial4"/>
    <dgm:cxn modelId="{0C523D73-2D10-4F29-B581-ACF8C2D6C534}" type="presOf" srcId="{E4DA997C-A918-4D6D-85BF-BD520700D016}" destId="{7B3319BD-D93E-43CC-955D-07B08E24C70A}" srcOrd="0" destOrd="0" presId="urn:microsoft.com/office/officeart/2005/8/layout/radial4"/>
    <dgm:cxn modelId="{FCCB9001-62D4-41CE-92FE-A6432D64E423}" type="presOf" srcId="{62DA4090-952E-4248-8697-1CB1E3DCDC93}" destId="{8D6F18A8-D6DB-48C4-982C-E5F8832B4D61}" srcOrd="0" destOrd="0" presId="urn:microsoft.com/office/officeart/2005/8/layout/radial4"/>
    <dgm:cxn modelId="{A98B480C-5EA0-4AED-96B4-CDCEBEA888EB}" srcId="{62DA4090-952E-4248-8697-1CB1E3DCDC93}" destId="{D16F1369-388B-48E2-A901-4ECF4FB726F4}" srcOrd="5" destOrd="0" parTransId="{155BA858-D2BD-44A0-8263-087D16183653}" sibTransId="{6375DEF5-AD7E-4C0A-A524-D785F8CBD1C2}"/>
    <dgm:cxn modelId="{542A29DC-3946-41D2-BB4B-67656636FBC1}" type="presOf" srcId="{BCB5408F-D9DD-4843-A9DF-1D0AE2095441}" destId="{7B69FF39-6450-4A82-ADBE-5785CC99059E}" srcOrd="0" destOrd="0" presId="urn:microsoft.com/office/officeart/2005/8/layout/radial4"/>
    <dgm:cxn modelId="{D34766A9-22ED-429E-9EE1-F69F0D8EEED1}" type="presOf" srcId="{F2F25D9E-0450-4FAD-A747-968F5B1CB1F5}" destId="{E9272AAC-E2F1-47A8-9ECA-7C2A58FD1FFD}" srcOrd="0" destOrd="0" presId="urn:microsoft.com/office/officeart/2005/8/layout/radial4"/>
    <dgm:cxn modelId="{01DD79A3-76FD-4F6B-ABFF-686BAB784624}" srcId="{62DA4090-952E-4248-8697-1CB1E3DCDC93}" destId="{A8ACCC21-F040-44D1-9226-6EC301C53FF2}" srcOrd="4" destOrd="0" parTransId="{F2F25D9E-0450-4FAD-A747-968F5B1CB1F5}" sibTransId="{F5BC700D-7711-45E2-90B1-015F4543BFE9}"/>
    <dgm:cxn modelId="{85FA4A3F-FA66-4E86-8FD0-13C0082F0AE2}" srcId="{B309051E-8DAD-4259-B2CE-DEF6FCD0A099}" destId="{62DA4090-952E-4248-8697-1CB1E3DCDC93}" srcOrd="0" destOrd="0" parTransId="{A79085F0-F097-424B-A69D-CB2918D8F8C6}" sibTransId="{7B7E785E-2A15-4503-B773-B843FBC7822B}"/>
    <dgm:cxn modelId="{936D6B4B-1FCB-4987-A7B8-288D921FC30C}" type="presOf" srcId="{D16F1369-388B-48E2-A901-4ECF4FB726F4}" destId="{3BED7CD0-802F-4977-A30A-26B33003769D}" srcOrd="0" destOrd="0" presId="urn:microsoft.com/office/officeart/2005/8/layout/radial4"/>
    <dgm:cxn modelId="{0975DECE-816E-427F-BF88-6885F344B3D1}" type="presOf" srcId="{48FDA6B1-EAC6-420B-8347-2EA81EEC4AF6}" destId="{6DE5250C-9E96-4C15-8A1E-0DB6F4EC937A}" srcOrd="0" destOrd="0" presId="urn:microsoft.com/office/officeart/2005/8/layout/radial4"/>
    <dgm:cxn modelId="{E825F0F1-B344-48A8-8C13-13F90DF6F6B2}" type="presOf" srcId="{B309051E-8DAD-4259-B2CE-DEF6FCD0A099}" destId="{B8DE56BB-8D71-4374-BF81-92A45EE3F3BD}" srcOrd="0" destOrd="0" presId="urn:microsoft.com/office/officeart/2005/8/layout/radial4"/>
    <dgm:cxn modelId="{5CC113FB-2628-495B-BF9D-8A30FE8342AF}" type="presOf" srcId="{A8ACCC21-F040-44D1-9226-6EC301C53FF2}" destId="{596231BC-3861-4024-9792-5EFE8878DC41}" srcOrd="0" destOrd="0" presId="urn:microsoft.com/office/officeart/2005/8/layout/radial4"/>
    <dgm:cxn modelId="{6D7B14F0-8A18-4D12-89AB-3064286AB4D5}" type="presOf" srcId="{7E89C0C3-48AB-435F-B25E-610080C8BB7D}" destId="{7DE2657C-7D21-4F6B-A581-EA677CFCC9D0}" srcOrd="0" destOrd="0" presId="urn:microsoft.com/office/officeart/2005/8/layout/radial4"/>
    <dgm:cxn modelId="{A5C83E22-8BA1-4598-A97F-8ECA2E97522E}" srcId="{62DA4090-952E-4248-8697-1CB1E3DCDC93}" destId="{9EEB9DF7-E07C-44B8-8E12-B82281F3E326}" srcOrd="1" destOrd="0" parTransId="{ADC5B522-89CA-45BA-B027-20B5B9E36C80}" sibTransId="{33A8A367-FDB2-44F3-BF70-A8E65E0D4DB4}"/>
    <dgm:cxn modelId="{59993FB0-972D-4560-9CE0-68DC00B14804}" srcId="{62DA4090-952E-4248-8697-1CB1E3DCDC93}" destId="{BCB5408F-D9DD-4843-A9DF-1D0AE2095441}" srcOrd="0" destOrd="0" parTransId="{7E89C0C3-48AB-435F-B25E-610080C8BB7D}" sibTransId="{00A7F22A-5B8D-4B2B-9D8A-2439394EFEFF}"/>
    <dgm:cxn modelId="{A87E44F2-E9E3-443B-B55E-0E3400297266}" type="presOf" srcId="{B5158794-E1B1-4315-A385-E1F3B3DEF33B}" destId="{6FC30095-72D7-48A2-A755-6AA0388D3553}" srcOrd="0" destOrd="0" presId="urn:microsoft.com/office/officeart/2005/8/layout/radial4"/>
    <dgm:cxn modelId="{6714B620-1265-4095-9B6E-C295A06854F7}" type="presOf" srcId="{9EEB9DF7-E07C-44B8-8E12-B82281F3E326}" destId="{32D5D89E-37BB-4239-BA57-C1AA23B29CD4}" srcOrd="0" destOrd="0" presId="urn:microsoft.com/office/officeart/2005/8/layout/radial4"/>
    <dgm:cxn modelId="{8CB12BEF-FE0C-421D-975E-F1BC9EC1D346}" type="presParOf" srcId="{B8DE56BB-8D71-4374-BF81-92A45EE3F3BD}" destId="{8D6F18A8-D6DB-48C4-982C-E5F8832B4D61}" srcOrd="0" destOrd="0" presId="urn:microsoft.com/office/officeart/2005/8/layout/radial4"/>
    <dgm:cxn modelId="{6E2D42A8-D7D0-47C6-ADB2-41E8D8643984}" type="presParOf" srcId="{B8DE56BB-8D71-4374-BF81-92A45EE3F3BD}" destId="{7DE2657C-7D21-4F6B-A581-EA677CFCC9D0}" srcOrd="1" destOrd="0" presId="urn:microsoft.com/office/officeart/2005/8/layout/radial4"/>
    <dgm:cxn modelId="{DEB0B5A7-3ABF-45D8-A2B3-92F7F7B03AA9}" type="presParOf" srcId="{B8DE56BB-8D71-4374-BF81-92A45EE3F3BD}" destId="{7B69FF39-6450-4A82-ADBE-5785CC99059E}" srcOrd="2" destOrd="0" presId="urn:microsoft.com/office/officeart/2005/8/layout/radial4"/>
    <dgm:cxn modelId="{D56143F7-78CF-4666-995C-437A449C1AFD}" type="presParOf" srcId="{B8DE56BB-8D71-4374-BF81-92A45EE3F3BD}" destId="{50FB35C1-A9AE-403A-A1B9-9BCFA0961DEC}" srcOrd="3" destOrd="0" presId="urn:microsoft.com/office/officeart/2005/8/layout/radial4"/>
    <dgm:cxn modelId="{113E7B6A-2AD1-4B91-B814-1943E6A812FB}" type="presParOf" srcId="{B8DE56BB-8D71-4374-BF81-92A45EE3F3BD}" destId="{32D5D89E-37BB-4239-BA57-C1AA23B29CD4}" srcOrd="4" destOrd="0" presId="urn:microsoft.com/office/officeart/2005/8/layout/radial4"/>
    <dgm:cxn modelId="{E29ED926-BAF1-4A4C-A47B-0AC1B52986C6}" type="presParOf" srcId="{B8DE56BB-8D71-4374-BF81-92A45EE3F3BD}" destId="{6DE5250C-9E96-4C15-8A1E-0DB6F4EC937A}" srcOrd="5" destOrd="0" presId="urn:microsoft.com/office/officeart/2005/8/layout/radial4"/>
    <dgm:cxn modelId="{0F63F826-8555-45D3-AD1D-0B810B906FE0}" type="presParOf" srcId="{B8DE56BB-8D71-4374-BF81-92A45EE3F3BD}" destId="{0318D04F-B9AA-4F14-96AD-BFB7CC5DC784}" srcOrd="6" destOrd="0" presId="urn:microsoft.com/office/officeart/2005/8/layout/radial4"/>
    <dgm:cxn modelId="{DFA2BA11-296F-4A26-BACD-49E2C253B381}" type="presParOf" srcId="{B8DE56BB-8D71-4374-BF81-92A45EE3F3BD}" destId="{6FC30095-72D7-48A2-A755-6AA0388D3553}" srcOrd="7" destOrd="0" presId="urn:microsoft.com/office/officeart/2005/8/layout/radial4"/>
    <dgm:cxn modelId="{C84F8EC4-221E-412D-9119-0D7FD9021C2B}" type="presParOf" srcId="{B8DE56BB-8D71-4374-BF81-92A45EE3F3BD}" destId="{7B3319BD-D93E-43CC-955D-07B08E24C70A}" srcOrd="8" destOrd="0" presId="urn:microsoft.com/office/officeart/2005/8/layout/radial4"/>
    <dgm:cxn modelId="{9F9E6708-8DC7-4385-A840-6604DA30B8B7}" type="presParOf" srcId="{B8DE56BB-8D71-4374-BF81-92A45EE3F3BD}" destId="{E9272AAC-E2F1-47A8-9ECA-7C2A58FD1FFD}" srcOrd="9" destOrd="0" presId="urn:microsoft.com/office/officeart/2005/8/layout/radial4"/>
    <dgm:cxn modelId="{B2C7E6D0-C939-42D5-A1D5-0BC57F6DB10E}" type="presParOf" srcId="{B8DE56BB-8D71-4374-BF81-92A45EE3F3BD}" destId="{596231BC-3861-4024-9792-5EFE8878DC41}" srcOrd="10" destOrd="0" presId="urn:microsoft.com/office/officeart/2005/8/layout/radial4"/>
    <dgm:cxn modelId="{8BD6E335-B2D8-4F39-A0E8-B8006AB642FE}" type="presParOf" srcId="{B8DE56BB-8D71-4374-BF81-92A45EE3F3BD}" destId="{38B0DBAE-8996-4B69-9381-67DC1E2C7D5D}" srcOrd="11" destOrd="0" presId="urn:microsoft.com/office/officeart/2005/8/layout/radial4"/>
    <dgm:cxn modelId="{912B48D3-6D2B-411B-AD4F-7C54467DC815}" type="presParOf" srcId="{B8DE56BB-8D71-4374-BF81-92A45EE3F3BD}" destId="{3BED7CD0-802F-4977-A30A-26B33003769D}" srcOrd="12"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F18A8-D6DB-48C4-982C-E5F8832B4D61}">
      <dsp:nvSpPr>
        <dsp:cNvPr id="0" name=""/>
        <dsp:cNvSpPr/>
      </dsp:nvSpPr>
      <dsp:spPr>
        <a:xfrm>
          <a:off x="2022788" y="1758953"/>
          <a:ext cx="1440822" cy="1440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r>
            <a:rPr lang="en-US" sz="3400" kern="1200"/>
            <a:t>FGCU</a:t>
          </a:r>
        </a:p>
      </dsp:txBody>
      <dsp:txXfrm>
        <a:off x="2233791" y="1969956"/>
        <a:ext cx="1018816" cy="1018816"/>
      </dsp:txXfrm>
    </dsp:sp>
    <dsp:sp modelId="{7DE2657C-7D21-4F6B-A581-EA677CFCC9D0}">
      <dsp:nvSpPr>
        <dsp:cNvPr id="0" name=""/>
        <dsp:cNvSpPr/>
      </dsp:nvSpPr>
      <dsp:spPr>
        <a:xfrm rot="10800000">
          <a:off x="561089" y="2274047"/>
          <a:ext cx="1381305" cy="4106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69FF39-6450-4A82-ADBE-5785CC99059E}">
      <dsp:nvSpPr>
        <dsp:cNvPr id="0" name=""/>
        <dsp:cNvSpPr/>
      </dsp:nvSpPr>
      <dsp:spPr>
        <a:xfrm>
          <a:off x="56801" y="2075934"/>
          <a:ext cx="1008576" cy="806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President</a:t>
          </a:r>
        </a:p>
      </dsp:txBody>
      <dsp:txXfrm>
        <a:off x="80433" y="2099566"/>
        <a:ext cx="961312" cy="759596"/>
      </dsp:txXfrm>
    </dsp:sp>
    <dsp:sp modelId="{50FB35C1-A9AE-403A-A1B9-9BCFA0961DEC}">
      <dsp:nvSpPr>
        <dsp:cNvPr id="0" name=""/>
        <dsp:cNvSpPr/>
      </dsp:nvSpPr>
      <dsp:spPr>
        <a:xfrm rot="12960000">
          <a:off x="845932" y="1397390"/>
          <a:ext cx="1381305" cy="4106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D5D89E-37BB-4239-BA57-C1AA23B29CD4}">
      <dsp:nvSpPr>
        <dsp:cNvPr id="0" name=""/>
        <dsp:cNvSpPr/>
      </dsp:nvSpPr>
      <dsp:spPr>
        <a:xfrm>
          <a:off x="473547" y="793321"/>
          <a:ext cx="1008576" cy="806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Board of Trustees</a:t>
          </a:r>
        </a:p>
      </dsp:txBody>
      <dsp:txXfrm>
        <a:off x="497179" y="816953"/>
        <a:ext cx="961312" cy="759596"/>
      </dsp:txXfrm>
    </dsp:sp>
    <dsp:sp modelId="{6DE5250C-9E96-4C15-8A1E-0DB6F4EC937A}">
      <dsp:nvSpPr>
        <dsp:cNvPr id="0" name=""/>
        <dsp:cNvSpPr/>
      </dsp:nvSpPr>
      <dsp:spPr>
        <a:xfrm rot="15120000">
          <a:off x="1591661" y="855586"/>
          <a:ext cx="1381305" cy="4106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18D04F-B9AA-4F14-96AD-BFB7CC5DC784}">
      <dsp:nvSpPr>
        <dsp:cNvPr id="0" name=""/>
        <dsp:cNvSpPr/>
      </dsp:nvSpPr>
      <dsp:spPr>
        <a:xfrm>
          <a:off x="1564602" y="623"/>
          <a:ext cx="1008576" cy="806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Administration</a:t>
          </a:r>
        </a:p>
      </dsp:txBody>
      <dsp:txXfrm>
        <a:off x="1588234" y="24255"/>
        <a:ext cx="961312" cy="759596"/>
      </dsp:txXfrm>
    </dsp:sp>
    <dsp:sp modelId="{6FC30095-72D7-48A2-A755-6AA0388D3553}">
      <dsp:nvSpPr>
        <dsp:cNvPr id="0" name=""/>
        <dsp:cNvSpPr/>
      </dsp:nvSpPr>
      <dsp:spPr>
        <a:xfrm rot="17280000">
          <a:off x="2513432" y="855586"/>
          <a:ext cx="1381305" cy="4106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3319BD-D93E-43CC-955D-07B08E24C70A}">
      <dsp:nvSpPr>
        <dsp:cNvPr id="0" name=""/>
        <dsp:cNvSpPr/>
      </dsp:nvSpPr>
      <dsp:spPr>
        <a:xfrm>
          <a:off x="2913221" y="623"/>
          <a:ext cx="1008576" cy="806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Faculty </a:t>
          </a:r>
        </a:p>
      </dsp:txBody>
      <dsp:txXfrm>
        <a:off x="2936853" y="24255"/>
        <a:ext cx="961312" cy="759596"/>
      </dsp:txXfrm>
    </dsp:sp>
    <dsp:sp modelId="{E9272AAC-E2F1-47A8-9ECA-7C2A58FD1FFD}">
      <dsp:nvSpPr>
        <dsp:cNvPr id="0" name=""/>
        <dsp:cNvSpPr/>
      </dsp:nvSpPr>
      <dsp:spPr>
        <a:xfrm rot="19440000">
          <a:off x="3259161" y="1397390"/>
          <a:ext cx="1381305" cy="4106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6231BC-3861-4024-9792-5EFE8878DC41}">
      <dsp:nvSpPr>
        <dsp:cNvPr id="0" name=""/>
        <dsp:cNvSpPr/>
      </dsp:nvSpPr>
      <dsp:spPr>
        <a:xfrm>
          <a:off x="4004276" y="793321"/>
          <a:ext cx="1008576" cy="806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Staff</a:t>
          </a:r>
        </a:p>
      </dsp:txBody>
      <dsp:txXfrm>
        <a:off x="4027908" y="816953"/>
        <a:ext cx="961312" cy="759596"/>
      </dsp:txXfrm>
    </dsp:sp>
    <dsp:sp modelId="{38B0DBAE-8996-4B69-9381-67DC1E2C7D5D}">
      <dsp:nvSpPr>
        <dsp:cNvPr id="0" name=""/>
        <dsp:cNvSpPr/>
      </dsp:nvSpPr>
      <dsp:spPr>
        <a:xfrm>
          <a:off x="3544004" y="2274047"/>
          <a:ext cx="1381305" cy="4106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ED7CD0-802F-4977-A30A-26B33003769D}">
      <dsp:nvSpPr>
        <dsp:cNvPr id="0" name=""/>
        <dsp:cNvSpPr/>
      </dsp:nvSpPr>
      <dsp:spPr>
        <a:xfrm>
          <a:off x="4421022" y="2075934"/>
          <a:ext cx="1008576" cy="8068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Students</a:t>
          </a:r>
        </a:p>
      </dsp:txBody>
      <dsp:txXfrm>
        <a:off x="4444654" y="2099566"/>
        <a:ext cx="961312" cy="7595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F7862-F909-453E-AEF2-E4599124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5631</Words>
  <Characters>32100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Florida Gulf Coast University</Company>
  <LinksUpToDate>false</LinksUpToDate>
  <CharactersWithSpaces>37656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someuser</dc:creator>
  <cp:keywords/>
  <dc:description/>
  <cp:lastModifiedBy>Snyder, Dr. Paul</cp:lastModifiedBy>
  <cp:revision>4</cp:revision>
  <cp:lastPrinted>2014-11-12T16:57:00Z</cp:lastPrinted>
  <dcterms:created xsi:type="dcterms:W3CDTF">2014-12-01T15:27:00Z</dcterms:created>
  <dcterms:modified xsi:type="dcterms:W3CDTF">2014-12-01T15:58:00Z</dcterms:modified>
</cp:coreProperties>
</file>